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4A4C03" w:rsidRDefault="00867382" w:rsidP="00867382">
      <w:pPr>
        <w:tabs>
          <w:tab w:val="left" w:pos="3060"/>
        </w:tabs>
        <w:jc w:val="both"/>
        <w:rPr>
          <w:rFonts w:cstheme="minorHAnsi"/>
          <w:b/>
          <w:bCs/>
          <w:sz w:val="24"/>
          <w:szCs w:val="24"/>
          <w:lang w:val="ka-GE"/>
        </w:rPr>
      </w:pPr>
      <w:r w:rsidRPr="004A4C03">
        <w:rPr>
          <w:rFonts w:cstheme="minorHAnsi"/>
          <w:b/>
          <w:bCs/>
          <w:sz w:val="24"/>
          <w:szCs w:val="24"/>
        </w:rPr>
        <w:t>Annex A-Terms of Reference</w:t>
      </w:r>
    </w:p>
    <w:p w14:paraId="79D782CB" w14:textId="10E088BE" w:rsidR="00A26725" w:rsidRPr="00A26725" w:rsidRDefault="00A26725" w:rsidP="00A26725">
      <w:pPr>
        <w:rPr>
          <w:rFonts w:ascii="Segoe UI" w:eastAsia="Times New Roman" w:hAnsi="Segoe UI" w:cs="Segoe UI"/>
          <w:sz w:val="36"/>
          <w:szCs w:val="36"/>
        </w:rPr>
      </w:pPr>
      <w:r w:rsidRPr="00A26725">
        <w:rPr>
          <w:rFonts w:cstheme="minorHAnsi"/>
          <w:b/>
          <w:bCs/>
          <w:sz w:val="24"/>
          <w:szCs w:val="24"/>
        </w:rPr>
        <w:t>PR_00158996</w:t>
      </w:r>
    </w:p>
    <w:p w14:paraId="2EDAF8D9" w14:textId="5BC1AC51" w:rsidR="00C21F63" w:rsidRPr="00A26725" w:rsidRDefault="00C21F63" w:rsidP="00625F5C">
      <w:pPr>
        <w:pStyle w:val="NoSpacing"/>
        <w:shd w:val="clear" w:color="auto" w:fill="C00000"/>
        <w:jc w:val="both"/>
        <w:rPr>
          <w:rFonts w:cs="Arial"/>
          <w:b/>
          <w:color w:val="auto"/>
          <w:sz w:val="24"/>
          <w:szCs w:val="24"/>
          <w:u w:val="single"/>
        </w:rPr>
      </w:pPr>
    </w:p>
    <w:p w14:paraId="4812B76A" w14:textId="77777777" w:rsidR="00625F5C" w:rsidRDefault="00625F5C" w:rsidP="00625F5C">
      <w:pPr>
        <w:rPr>
          <w:rFonts w:eastAsia="Times New Roman"/>
          <w:b/>
          <w:bCs/>
          <w:color w:val="C00000"/>
          <w:sz w:val="28"/>
          <w:szCs w:val="28"/>
        </w:rPr>
      </w:pPr>
    </w:p>
    <w:p w14:paraId="7736703B" w14:textId="46DB4805" w:rsidR="00C46CD2" w:rsidRPr="00A26725" w:rsidRDefault="00C46CD2" w:rsidP="00625F5C">
      <w:pPr>
        <w:jc w:val="center"/>
        <w:rPr>
          <w:rFonts w:eastAsia="Times New Roman"/>
          <w:b/>
          <w:bCs/>
          <w:color w:val="000000" w:themeColor="text1"/>
          <w:sz w:val="28"/>
          <w:szCs w:val="28"/>
        </w:rPr>
      </w:pPr>
      <w:r w:rsidRPr="00A26725">
        <w:rPr>
          <w:rFonts w:eastAsia="Times New Roman"/>
          <w:b/>
          <w:bCs/>
          <w:color w:val="000000" w:themeColor="text1"/>
          <w:sz w:val="28"/>
          <w:szCs w:val="28"/>
        </w:rPr>
        <w:t xml:space="preserve">Consultancy </w:t>
      </w:r>
      <w:r w:rsidR="00B16DBB" w:rsidRPr="00A26725">
        <w:rPr>
          <w:rFonts w:eastAsia="Times New Roman"/>
          <w:b/>
          <w:bCs/>
          <w:color w:val="000000" w:themeColor="text1"/>
          <w:sz w:val="28"/>
          <w:szCs w:val="28"/>
        </w:rPr>
        <w:t>to conduct a</w:t>
      </w:r>
      <w:r w:rsidRPr="00A26725">
        <w:rPr>
          <w:rFonts w:eastAsia="Times New Roman"/>
          <w:b/>
          <w:bCs/>
          <w:color w:val="000000" w:themeColor="text1"/>
          <w:sz w:val="28"/>
          <w:szCs w:val="28"/>
        </w:rPr>
        <w:t xml:space="preserve"> </w:t>
      </w:r>
      <w:r w:rsidR="00625F5C" w:rsidRPr="00A26725">
        <w:rPr>
          <w:rFonts w:eastAsia="Times New Roman"/>
          <w:b/>
          <w:bCs/>
          <w:color w:val="000000" w:themeColor="text1"/>
          <w:sz w:val="28"/>
          <w:szCs w:val="28"/>
        </w:rPr>
        <w:t xml:space="preserve">critical analysis </w:t>
      </w:r>
      <w:r w:rsidR="00B16DBB" w:rsidRPr="00A26725">
        <w:rPr>
          <w:rFonts w:eastAsia="Times New Roman"/>
          <w:b/>
          <w:bCs/>
          <w:color w:val="000000" w:themeColor="text1"/>
          <w:sz w:val="28"/>
          <w:szCs w:val="28"/>
        </w:rPr>
        <w:t xml:space="preserve">of </w:t>
      </w:r>
      <w:r w:rsidR="00625F5C" w:rsidRPr="00A26725">
        <w:rPr>
          <w:rFonts w:eastAsia="Times New Roman"/>
          <w:b/>
          <w:bCs/>
          <w:color w:val="000000" w:themeColor="text1"/>
          <w:sz w:val="28"/>
          <w:szCs w:val="28"/>
        </w:rPr>
        <w:t xml:space="preserve">enabling factors </w:t>
      </w:r>
      <w:r w:rsidR="00B16DBB" w:rsidRPr="00A26725">
        <w:rPr>
          <w:rFonts w:eastAsia="Times New Roman"/>
          <w:b/>
          <w:bCs/>
          <w:color w:val="000000" w:themeColor="text1"/>
          <w:sz w:val="28"/>
          <w:szCs w:val="28"/>
        </w:rPr>
        <w:t xml:space="preserve">for </w:t>
      </w:r>
      <w:r w:rsidR="00625F5C" w:rsidRPr="00A26725">
        <w:rPr>
          <w:rFonts w:eastAsia="Times New Roman"/>
          <w:b/>
          <w:bCs/>
          <w:color w:val="000000" w:themeColor="text1"/>
          <w:sz w:val="28"/>
          <w:szCs w:val="28"/>
        </w:rPr>
        <w:t>social inclusion</w:t>
      </w:r>
      <w:r w:rsidR="00B16DBB" w:rsidRPr="00A26725">
        <w:rPr>
          <w:rFonts w:eastAsia="Times New Roman"/>
          <w:b/>
          <w:bCs/>
          <w:color w:val="000000" w:themeColor="text1"/>
          <w:sz w:val="28"/>
          <w:szCs w:val="28"/>
        </w:rPr>
        <w:t xml:space="preserve"> of youth</w:t>
      </w:r>
      <w:r w:rsidR="00625F5C" w:rsidRPr="00A26725">
        <w:rPr>
          <w:rFonts w:eastAsia="Times New Roman"/>
          <w:b/>
          <w:bCs/>
          <w:color w:val="000000" w:themeColor="text1"/>
          <w:sz w:val="28"/>
          <w:szCs w:val="28"/>
        </w:rPr>
        <w:t xml:space="preserve"> </w:t>
      </w:r>
      <w:r w:rsidR="00B16DBB" w:rsidRPr="00A26725">
        <w:rPr>
          <w:rFonts w:eastAsia="Times New Roman"/>
          <w:b/>
          <w:bCs/>
          <w:color w:val="000000" w:themeColor="text1"/>
          <w:sz w:val="28"/>
          <w:szCs w:val="28"/>
        </w:rPr>
        <w:t>in Georgia as a foundational element of</w:t>
      </w:r>
      <w:r w:rsidR="00625F5C" w:rsidRPr="00A26725">
        <w:rPr>
          <w:rFonts w:eastAsia="Times New Roman"/>
          <w:b/>
          <w:bCs/>
          <w:color w:val="000000" w:themeColor="text1"/>
          <w:sz w:val="28"/>
          <w:szCs w:val="28"/>
        </w:rPr>
        <w:t xml:space="preserve"> </w:t>
      </w:r>
      <w:r w:rsidR="00A26725" w:rsidRPr="00A26725">
        <w:rPr>
          <w:rFonts w:eastAsia="Times New Roman"/>
          <w:b/>
          <w:bCs/>
          <w:color w:val="000000" w:themeColor="text1"/>
          <w:sz w:val="28"/>
          <w:szCs w:val="28"/>
        </w:rPr>
        <w:t>entrepreneurship</w:t>
      </w:r>
    </w:p>
    <w:p w14:paraId="7459424A" w14:textId="48EA3B84" w:rsidR="00BE2585" w:rsidRPr="00F23E42" w:rsidRDefault="00BE2585" w:rsidP="00DC2DAF">
      <w:pPr>
        <w:pStyle w:val="NoSpacing"/>
        <w:jc w:val="center"/>
        <w:rPr>
          <w:rFonts w:cs="Arial"/>
          <w:b/>
          <w:bCs/>
          <w:color w:val="C00000"/>
          <w:sz w:val="28"/>
          <w:szCs w:val="28"/>
        </w:rPr>
      </w:pPr>
    </w:p>
    <w:p w14:paraId="504ED070" w14:textId="3E22384D" w:rsidR="00801C67" w:rsidRPr="00CB110D" w:rsidRDefault="00BE2585" w:rsidP="0002497A">
      <w:pPr>
        <w:pStyle w:val="NoSpacing"/>
        <w:numPr>
          <w:ilvl w:val="0"/>
          <w:numId w:val="9"/>
        </w:numPr>
        <w:jc w:val="both"/>
        <w:rPr>
          <w:rFonts w:cs="Arial"/>
          <w:b/>
          <w:color w:val="auto"/>
          <w:sz w:val="24"/>
          <w:szCs w:val="24"/>
          <w:u w:val="single"/>
          <w:lang w:val="en-GB"/>
        </w:rPr>
      </w:pPr>
      <w:r w:rsidRPr="00CB110D">
        <w:rPr>
          <w:rFonts w:cs="Arial"/>
          <w:b/>
          <w:color w:val="auto"/>
          <w:sz w:val="24"/>
          <w:szCs w:val="24"/>
          <w:u w:val="single"/>
          <w:lang w:val="en-GB"/>
        </w:rPr>
        <w:t xml:space="preserve">Introduction </w:t>
      </w:r>
      <w:r w:rsidR="00C804F9" w:rsidRPr="00CB110D">
        <w:rPr>
          <w:rFonts w:cs="Arial"/>
          <w:b/>
          <w:color w:val="auto"/>
          <w:sz w:val="24"/>
          <w:szCs w:val="24"/>
          <w:u w:val="single"/>
          <w:lang w:val="en-GB"/>
        </w:rPr>
        <w:t>to DR</w:t>
      </w:r>
      <w:r w:rsidR="007A21D5" w:rsidRPr="00CB110D">
        <w:rPr>
          <w:rFonts w:cs="Arial"/>
          <w:b/>
          <w:color w:val="auto"/>
          <w:sz w:val="24"/>
          <w:szCs w:val="24"/>
          <w:u w:val="single"/>
          <w:lang w:val="en-GB"/>
        </w:rPr>
        <w:t>C</w:t>
      </w:r>
    </w:p>
    <w:p w14:paraId="1726D068" w14:textId="48FA8D9A" w:rsidR="00801C67" w:rsidRPr="00CB110D" w:rsidRDefault="00801C67" w:rsidP="007A21D5">
      <w:pPr>
        <w:spacing w:before="240"/>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main DRC donors in Georgia in 2021 are the KfW, GIZ, UNHCR, UNDP and the European Union while fundraising efforts have been undertaken with other donors which could potentially effect priorities, the scope of work and tasks related to this particular </w:t>
      </w:r>
      <w:r w:rsidR="007A21D5" w:rsidRPr="00CB110D">
        <w:rPr>
          <w:rFonts w:ascii="Calibri" w:eastAsia="ヒラギノ角ゴ Pro W3" w:hAnsi="Calibri" w:cs="Times New Roman"/>
          <w:lang w:val="en-GB" w:eastAsia="ru-RU"/>
        </w:rPr>
        <w:t>a</w:t>
      </w:r>
      <w:r w:rsidR="00125C1A" w:rsidRPr="00CB110D">
        <w:rPr>
          <w:rFonts w:ascii="Calibri" w:eastAsia="ヒラギノ角ゴ Pro W3" w:hAnsi="Calibri" w:cs="Times New Roman"/>
          <w:lang w:val="en-GB" w:eastAsia="ru-RU"/>
        </w:rPr>
        <w:t>ssignment.</w:t>
      </w:r>
    </w:p>
    <w:p w14:paraId="32CBE1D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CB110D"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Livelihoods (self-reliance, small-business and SME development, VET, work placement etc.)</w:t>
      </w:r>
    </w:p>
    <w:p w14:paraId="52A41527" w14:textId="347BA6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education and community services</w:t>
      </w:r>
    </w:p>
    <w:p w14:paraId="68D4E477"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rights and basic freedoms/protection (legal aid assistance)</w:t>
      </w:r>
    </w:p>
    <w:p w14:paraId="334F126E" w14:textId="77C7C805" w:rsidR="00181A49" w:rsidRPr="00CB110D"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sidRPr="00CB110D">
        <w:rPr>
          <w:rFonts w:ascii="Calibri" w:eastAsia="ヒラギノ角ゴ Pro W3" w:hAnsi="Calibri" w:cs="Arial"/>
          <w:bCs/>
          <w:lang w:val="en-GB" w:eastAsia="ru-RU"/>
        </w:rPr>
        <w:t>Technical assistance to the Government</w:t>
      </w:r>
      <w:r w:rsidR="00801C67" w:rsidRPr="00CB110D">
        <w:rPr>
          <w:rFonts w:ascii="Calibri" w:eastAsia="ヒラギノ角ゴ Pro W3" w:hAnsi="Calibri" w:cs="Arial"/>
          <w:bCs/>
          <w:lang w:val="en-GB" w:eastAsia="ru-RU"/>
        </w:rPr>
        <w:t xml:space="preserve"> </w:t>
      </w:r>
      <w:r w:rsidRPr="00CB110D">
        <w:rPr>
          <w:rFonts w:ascii="Calibri" w:eastAsia="ヒラギノ角ゴ Pro W3" w:hAnsi="Calibri" w:cs="Arial"/>
          <w:bCs/>
          <w:lang w:val="en-GB" w:eastAsia="ru-RU"/>
        </w:rPr>
        <w:t>in support of IDP integration in all its dimensions</w:t>
      </w:r>
    </w:p>
    <w:p w14:paraId="47C5FC12" w14:textId="2C97A565" w:rsidR="00C804F9" w:rsidRPr="00CB110D" w:rsidRDefault="00C804F9"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73DE78E" w14:textId="51F0C0FA" w:rsidR="00C163AA" w:rsidRDefault="001A53AA" w:rsidP="00B13A47">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Background</w:t>
      </w:r>
    </w:p>
    <w:p w14:paraId="1C2817A1" w14:textId="77777777" w:rsidR="00B13A47" w:rsidRPr="00B13A47" w:rsidRDefault="00B13A47" w:rsidP="00B13A47">
      <w:pPr>
        <w:pStyle w:val="NoSpacing"/>
        <w:ind w:left="360"/>
        <w:jc w:val="both"/>
        <w:rPr>
          <w:rFonts w:cs="Arial"/>
          <w:b/>
          <w:color w:val="auto"/>
          <w:sz w:val="24"/>
          <w:szCs w:val="24"/>
          <w:u w:val="single"/>
          <w:lang w:val="en-GB"/>
        </w:rPr>
      </w:pPr>
    </w:p>
    <w:p w14:paraId="511A679A" w14:textId="397C2B73" w:rsidR="00B13A47" w:rsidRPr="00B13A47" w:rsidRDefault="00B13A47" w:rsidP="00B13A47">
      <w:pPr>
        <w:shd w:val="clear" w:color="auto" w:fill="FFFFFF"/>
        <w:jc w:val="both"/>
        <w:rPr>
          <w:rFonts w:ascii="Calibri" w:eastAsia="ヒラギノ角ゴ Pro W3" w:hAnsi="Calibri" w:cs="Times New Roman"/>
          <w:lang w:eastAsia="ru-RU"/>
        </w:rPr>
      </w:pPr>
      <w:r w:rsidRPr="00B13A47">
        <w:rPr>
          <w:rFonts w:ascii="Calibri" w:eastAsia="ヒラギノ角ゴ Pro W3" w:hAnsi="Calibri" w:cs="Times New Roman"/>
          <w:lang w:eastAsia="ru-RU"/>
        </w:rPr>
        <w:t xml:space="preserve">The Danish Refugee Council </w:t>
      </w:r>
      <w:r w:rsidR="009345CB" w:rsidRPr="00B13A47">
        <w:rPr>
          <w:rFonts w:ascii="Calibri" w:eastAsia="ヒラギノ角ゴ Pro W3" w:hAnsi="Calibri" w:cs="Times New Roman"/>
          <w:lang w:eastAsia="ru-RU"/>
        </w:rPr>
        <w:t xml:space="preserve">currently </w:t>
      </w:r>
      <w:r w:rsidR="00431ACC">
        <w:rPr>
          <w:rFonts w:ascii="Calibri" w:eastAsia="ヒラギノ角ゴ Pro W3" w:hAnsi="Calibri" w:cs="Times New Roman"/>
          <w:lang w:eastAsia="ru-RU"/>
        </w:rPr>
        <w:t>has been</w:t>
      </w:r>
      <w:r w:rsidR="00431ACC"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implementing </w:t>
      </w:r>
      <w:r w:rsidR="00431ACC">
        <w:rPr>
          <w:rFonts w:ascii="Calibri" w:eastAsia="ヒラギノ角ゴ Pro W3" w:hAnsi="Calibri" w:cs="Times New Roman"/>
          <w:lang w:eastAsia="ru-RU"/>
        </w:rPr>
        <w:t xml:space="preserve">since December 2018 one EU-funded project “EU4Youth- </w:t>
      </w:r>
      <w:r w:rsidR="00431ACC" w:rsidRPr="00625F5C">
        <w:rPr>
          <w:rFonts w:ascii="Calibri" w:eastAsia="ヒラギノ角ゴ Pro W3" w:hAnsi="Calibri" w:cs="Times New Roman"/>
          <w:lang w:eastAsia="ru-RU"/>
        </w:rPr>
        <w:t>Enhancing Youth Education, Employment and Participation in Conflict-affected Areas in Georgia and Ukraine”</w:t>
      </w:r>
      <w:r w:rsidR="00431ACC">
        <w:rPr>
          <w:rFonts w:ascii="Calibri" w:eastAsia="ヒラギノ角ゴ Pro W3" w:hAnsi="Calibri" w:cs="Times New Roman"/>
          <w:lang w:eastAsia="ru-RU"/>
        </w:rPr>
        <w:t xml:space="preserve"> in support of IDP socio-economic integration.</w:t>
      </w:r>
      <w:r w:rsidRPr="00B13A47">
        <w:rPr>
          <w:rFonts w:ascii="Calibri" w:eastAsia="ヒラギノ角ゴ Pro W3" w:hAnsi="Calibri" w:cs="Times New Roman"/>
          <w:lang w:eastAsia="ru-RU"/>
        </w:rPr>
        <w:t xml:space="preserve">. </w:t>
      </w:r>
      <w:r w:rsidR="009A1E4A">
        <w:rPr>
          <w:rFonts w:ascii="Calibri" w:eastAsia="ヒラギノ角ゴ Pro W3" w:hAnsi="Calibri" w:cs="Times New Roman"/>
          <w:lang w:eastAsia="ru-RU"/>
        </w:rPr>
        <w:t>This</w:t>
      </w:r>
      <w:r w:rsidR="00431ACC">
        <w:rPr>
          <w:rFonts w:ascii="Calibri" w:eastAsia="ヒラギノ角ゴ Pro W3" w:hAnsi="Calibri" w:cs="Times New Roman"/>
          <w:lang w:eastAsia="ru-RU"/>
        </w:rPr>
        <w:t xml:space="preserve"> project </w:t>
      </w:r>
      <w:r w:rsidR="009A1E4A">
        <w:rPr>
          <w:rFonts w:ascii="Calibri" w:eastAsia="ヒラギノ角ゴ Pro W3" w:hAnsi="Calibri" w:cs="Times New Roman"/>
          <w:lang w:eastAsia="ru-RU"/>
        </w:rPr>
        <w:t>focuses on</w:t>
      </w:r>
      <w:r w:rsidR="009A1E4A"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economic </w:t>
      </w:r>
      <w:r w:rsidR="009345CB">
        <w:rPr>
          <w:rFonts w:ascii="Calibri" w:eastAsia="ヒラギノ角ゴ Pro W3" w:hAnsi="Calibri" w:cs="Times New Roman"/>
          <w:lang w:eastAsia="ru-RU"/>
        </w:rPr>
        <w:t xml:space="preserve">recovery </w:t>
      </w:r>
      <w:r w:rsidR="00431ACC">
        <w:rPr>
          <w:rFonts w:ascii="Calibri" w:eastAsia="ヒラギノ角ゴ Pro W3" w:hAnsi="Calibri" w:cs="Times New Roman"/>
          <w:lang w:eastAsia="ru-RU"/>
        </w:rPr>
        <w:t>with a</w:t>
      </w:r>
      <w:r w:rsidR="009345CB">
        <w:rPr>
          <w:rFonts w:ascii="Calibri" w:eastAsia="ヒラギノ角ゴ Pro W3" w:hAnsi="Calibri" w:cs="Times New Roman"/>
          <w:lang w:eastAsia="ru-RU"/>
        </w:rPr>
        <w:t xml:space="preserve"> special emphasis on youth </w:t>
      </w:r>
      <w:r w:rsidRPr="00B13A47">
        <w:rPr>
          <w:rFonts w:ascii="Calibri" w:eastAsia="ヒラギノ角ゴ Pro W3" w:hAnsi="Calibri" w:cs="Times New Roman"/>
          <w:lang w:eastAsia="ru-RU"/>
        </w:rPr>
        <w:t>empower</w:t>
      </w:r>
      <w:r w:rsidR="009345CB">
        <w:rPr>
          <w:rFonts w:ascii="Calibri" w:eastAsia="ヒラギノ角ゴ Pro W3" w:hAnsi="Calibri" w:cs="Times New Roman"/>
          <w:lang w:eastAsia="ru-RU"/>
        </w:rPr>
        <w:t xml:space="preserve">ment </w:t>
      </w:r>
      <w:r w:rsidRPr="00B13A47">
        <w:rPr>
          <w:rFonts w:ascii="Calibri" w:eastAsia="ヒラギノ角ゴ Pro W3" w:hAnsi="Calibri" w:cs="Times New Roman"/>
          <w:lang w:eastAsia="ru-RU"/>
        </w:rPr>
        <w:t xml:space="preserve"> </w:t>
      </w:r>
      <w:r w:rsidR="009345CB">
        <w:rPr>
          <w:rFonts w:ascii="Calibri" w:eastAsia="ヒラギノ角ゴ Pro W3" w:hAnsi="Calibri" w:cs="Times New Roman"/>
          <w:lang w:eastAsia="ru-RU"/>
        </w:rPr>
        <w:t>through</w:t>
      </w:r>
      <w:r w:rsidR="009345CB"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the </w:t>
      </w:r>
      <w:r w:rsidR="00C45F24">
        <w:rPr>
          <w:rFonts w:ascii="Calibri" w:eastAsia="ヒラギノ角ゴ Pro W3" w:hAnsi="Calibri" w:cs="Times New Roman"/>
          <w:lang w:eastAsia="ru-RU"/>
        </w:rPr>
        <w:t xml:space="preserve">promotion of entrepreneurship and </w:t>
      </w:r>
      <w:r w:rsidRPr="00B13A47">
        <w:rPr>
          <w:rFonts w:ascii="Calibri" w:eastAsia="ヒラギノ角ゴ Pro W3" w:hAnsi="Calibri" w:cs="Times New Roman"/>
          <w:lang w:eastAsia="ru-RU"/>
        </w:rPr>
        <w:t xml:space="preserve">skills development </w:t>
      </w:r>
      <w:r w:rsidR="009345CB">
        <w:rPr>
          <w:rFonts w:ascii="Calibri" w:eastAsia="ヒラギノ角ゴ Pro W3" w:hAnsi="Calibri" w:cs="Times New Roman"/>
          <w:lang w:eastAsia="ru-RU"/>
        </w:rPr>
        <w:t>in pursue</w:t>
      </w:r>
      <w:r w:rsidRPr="00B13A47">
        <w:rPr>
          <w:rFonts w:ascii="Calibri" w:eastAsia="ヒラギノ角ゴ Pro W3" w:hAnsi="Calibri" w:cs="Times New Roman"/>
          <w:lang w:eastAsia="ru-RU"/>
        </w:rPr>
        <w:t xml:space="preserve"> durable solutions</w:t>
      </w:r>
      <w:r w:rsidR="009345CB">
        <w:rPr>
          <w:rFonts w:ascii="Calibri" w:eastAsia="ヒラギノ角ゴ Pro W3" w:hAnsi="Calibri" w:cs="Times New Roman"/>
          <w:lang w:eastAsia="ru-RU"/>
        </w:rPr>
        <w:t xml:space="preserve">, with </w:t>
      </w:r>
      <w:r w:rsidRPr="00B13A47">
        <w:rPr>
          <w:rFonts w:ascii="Calibri" w:eastAsia="ヒラギノ角ゴ Pro W3" w:hAnsi="Calibri" w:cs="Times New Roman"/>
          <w:lang w:eastAsia="ru-RU"/>
        </w:rPr>
        <w:t>IDPs</w:t>
      </w:r>
      <w:r w:rsidR="009345CB">
        <w:rPr>
          <w:rFonts w:ascii="Calibri" w:eastAsia="ヒラギノ角ゴ Pro W3" w:hAnsi="Calibri" w:cs="Times New Roman"/>
          <w:lang w:eastAsia="ru-RU"/>
        </w:rPr>
        <w:t xml:space="preserve"> as a main target group</w:t>
      </w:r>
      <w:r w:rsidRPr="00B13A47">
        <w:rPr>
          <w:rFonts w:ascii="Calibri" w:eastAsia="ヒラギノ角ゴ Pro W3" w:hAnsi="Calibri" w:cs="Times New Roman"/>
          <w:lang w:eastAsia="ru-RU"/>
        </w:rPr>
        <w:t xml:space="preserve">. Matching market needs through effective interventions in the field of Vocational and Educational Training is central to DRC work in Georgia. DRC constantly empowers unemployed </w:t>
      </w:r>
      <w:r w:rsidR="00205FAA">
        <w:rPr>
          <w:rFonts w:ascii="Calibri" w:eastAsia="ヒラギノ角ゴ Pro W3" w:hAnsi="Calibri" w:cs="Times New Roman"/>
          <w:lang w:eastAsia="ru-RU"/>
        </w:rPr>
        <w:t xml:space="preserve">IDP and conflict-affected </w:t>
      </w:r>
      <w:r w:rsidRPr="00B13A47">
        <w:rPr>
          <w:rFonts w:ascii="Calibri" w:eastAsia="ヒラギノ角ゴ Pro W3" w:hAnsi="Calibri" w:cs="Times New Roman"/>
          <w:lang w:eastAsia="ru-RU"/>
        </w:rPr>
        <w:t>youth and other vulnerable groups to build up a stronger resilience and access employment.</w:t>
      </w:r>
    </w:p>
    <w:p w14:paraId="301228EF" w14:textId="798E02C2" w:rsidR="00431ACC" w:rsidRDefault="00CC28A4" w:rsidP="0050104B">
      <w:pPr>
        <w:jc w:val="both"/>
        <w:rPr>
          <w:rFonts w:ascii="Calibri" w:eastAsia="ヒラギノ角ゴ Pro W3" w:hAnsi="Calibri" w:cs="Times New Roman"/>
          <w:lang w:eastAsia="ru-RU"/>
        </w:rPr>
      </w:pPr>
      <w:r w:rsidRPr="00CC28A4">
        <w:rPr>
          <w:rFonts w:ascii="Calibri" w:eastAsia="ヒラギノ角ゴ Pro W3" w:hAnsi="Calibri" w:cs="Times New Roman"/>
          <w:lang w:eastAsia="ru-RU"/>
        </w:rPr>
        <w:t xml:space="preserve">DRC foresees </w:t>
      </w:r>
      <w:r w:rsidR="0050104B">
        <w:rPr>
          <w:rFonts w:ascii="Calibri" w:eastAsia="ヒラギノ角ゴ Pro W3" w:hAnsi="Calibri" w:cs="Times New Roman"/>
          <w:lang w:eastAsia="ru-RU"/>
        </w:rPr>
        <w:t>herewith</w:t>
      </w:r>
      <w:r w:rsidRPr="00CC28A4">
        <w:rPr>
          <w:rFonts w:ascii="Calibri" w:eastAsia="ヒラギノ角ゴ Pro W3" w:hAnsi="Calibri" w:cs="Times New Roman"/>
          <w:lang w:eastAsia="ru-RU"/>
        </w:rPr>
        <w:t xml:space="preserve"> to </w:t>
      </w:r>
      <w:r w:rsidR="00C45F24">
        <w:rPr>
          <w:rFonts w:ascii="Calibri" w:eastAsia="ヒラギノ角ゴ Pro W3" w:hAnsi="Calibri" w:cs="Times New Roman"/>
          <w:lang w:eastAsia="ru-RU"/>
        </w:rPr>
        <w:t xml:space="preserve">analyze specifically the fundamentals of youth engagement in Georgia as a prerequisite of successful entrepreneurship, exploring specifically the dimensions of </w:t>
      </w:r>
      <w:r w:rsidR="00431ACC">
        <w:rPr>
          <w:rFonts w:ascii="Calibri" w:eastAsia="ヒラギノ角ゴ Pro W3" w:hAnsi="Calibri" w:cs="Times New Roman"/>
          <w:lang w:eastAsia="ru-RU"/>
        </w:rPr>
        <w:t xml:space="preserve">a) </w:t>
      </w:r>
      <w:r w:rsidR="00C45F24">
        <w:rPr>
          <w:rFonts w:ascii="Calibri" w:eastAsia="ヒラギノ角ゴ Pro W3" w:hAnsi="Calibri" w:cs="Times New Roman"/>
          <w:lang w:eastAsia="ru-RU"/>
        </w:rPr>
        <w:t xml:space="preserve">youth participation in community life, </w:t>
      </w:r>
      <w:r w:rsidR="00431ACC">
        <w:rPr>
          <w:rFonts w:ascii="Calibri" w:eastAsia="ヒラギノ角ゴ Pro W3" w:hAnsi="Calibri" w:cs="Times New Roman"/>
          <w:lang w:eastAsia="ru-RU"/>
        </w:rPr>
        <w:t xml:space="preserve">b) </w:t>
      </w:r>
      <w:r w:rsidR="00C45F24">
        <w:rPr>
          <w:rFonts w:ascii="Calibri" w:eastAsia="ヒラギノ角ゴ Pro W3" w:hAnsi="Calibri" w:cs="Times New Roman"/>
          <w:lang w:eastAsia="ru-RU"/>
        </w:rPr>
        <w:t xml:space="preserve">the social protection mechanisms in place which support NEETs (Not in Education, Employment and Trainings) and </w:t>
      </w:r>
      <w:r w:rsidR="00431ACC">
        <w:rPr>
          <w:rFonts w:ascii="Calibri" w:eastAsia="ヒラギノ角ゴ Pro W3" w:hAnsi="Calibri" w:cs="Times New Roman"/>
          <w:lang w:eastAsia="ru-RU"/>
        </w:rPr>
        <w:t xml:space="preserve">c) </w:t>
      </w:r>
      <w:r w:rsidR="00C45F24">
        <w:rPr>
          <w:rFonts w:ascii="Calibri" w:eastAsia="ヒラギノ角ゴ Pro W3" w:hAnsi="Calibri" w:cs="Times New Roman"/>
          <w:lang w:eastAsia="ru-RU"/>
        </w:rPr>
        <w:t>the way marginalized youth may have access to basic state programs for humanitarian-type of support as a poverty alleviation measure</w:t>
      </w:r>
      <w:r w:rsidRPr="00CC28A4">
        <w:rPr>
          <w:rFonts w:ascii="Calibri" w:eastAsia="ヒラギノ角ゴ Pro W3" w:hAnsi="Calibri" w:cs="Times New Roman"/>
          <w:lang w:eastAsia="ru-RU"/>
        </w:rPr>
        <w:t xml:space="preserve">. </w:t>
      </w:r>
      <w:r w:rsidR="0050104B">
        <w:rPr>
          <w:rFonts w:ascii="Calibri" w:eastAsia="ヒラギノ角ゴ Pro W3" w:hAnsi="Calibri" w:cs="Times New Roman"/>
          <w:lang w:eastAsia="ru-RU"/>
        </w:rPr>
        <w:t>The present</w:t>
      </w:r>
      <w:r w:rsidRPr="00CC28A4">
        <w:rPr>
          <w:rFonts w:ascii="Calibri" w:eastAsia="ヒラギノ角ゴ Pro W3" w:hAnsi="Calibri" w:cs="Times New Roman"/>
          <w:lang w:eastAsia="ru-RU"/>
        </w:rPr>
        <w:t xml:space="preserve"> consultancy </w:t>
      </w:r>
      <w:r w:rsidR="00C45F24">
        <w:rPr>
          <w:rFonts w:ascii="Calibri" w:eastAsia="ヒラギノ角ゴ Pro W3" w:hAnsi="Calibri" w:cs="Times New Roman"/>
          <w:lang w:eastAsia="ru-RU"/>
        </w:rPr>
        <w:t xml:space="preserve">complements a separate consultancy initiated in June </w:t>
      </w:r>
      <w:r w:rsidR="00431ACC">
        <w:rPr>
          <w:rFonts w:ascii="Calibri" w:eastAsia="ヒラギノ角ゴ Pro W3" w:hAnsi="Calibri" w:cs="Times New Roman"/>
          <w:lang w:eastAsia="ru-RU"/>
        </w:rPr>
        <w:t xml:space="preserve">2021 under the same project </w:t>
      </w:r>
      <w:r w:rsidR="00C45F24">
        <w:rPr>
          <w:rFonts w:ascii="Calibri" w:eastAsia="ヒラギノ角ゴ Pro W3" w:hAnsi="Calibri" w:cs="Times New Roman"/>
          <w:lang w:eastAsia="ru-RU"/>
        </w:rPr>
        <w:t xml:space="preserve">and which looked at the </w:t>
      </w:r>
      <w:r w:rsidR="00431ACC">
        <w:rPr>
          <w:rFonts w:ascii="Calibri" w:eastAsia="ヒラギノ角ゴ Pro W3" w:hAnsi="Calibri" w:cs="Times New Roman"/>
          <w:lang w:eastAsia="ru-RU"/>
        </w:rPr>
        <w:t xml:space="preserve">mainstreaming of the youth dimension in </w:t>
      </w:r>
      <w:r w:rsidR="00C45F24">
        <w:rPr>
          <w:rFonts w:ascii="Calibri" w:eastAsia="ヒラギノ角ゴ Pro W3" w:hAnsi="Calibri" w:cs="Times New Roman"/>
          <w:lang w:eastAsia="ru-RU"/>
        </w:rPr>
        <w:t xml:space="preserve">State Programs </w:t>
      </w:r>
      <w:r w:rsidR="00431ACC">
        <w:rPr>
          <w:rFonts w:ascii="Calibri" w:eastAsia="ヒラギノ角ゴ Pro W3" w:hAnsi="Calibri" w:cs="Times New Roman"/>
          <w:lang w:eastAsia="ru-RU"/>
        </w:rPr>
        <w:t xml:space="preserve">in Georgia, specifically the ones focusing on business support and entrepreneurship. </w:t>
      </w:r>
    </w:p>
    <w:p w14:paraId="07420452" w14:textId="35D3D992" w:rsidR="00625F5C" w:rsidRDefault="00431ACC" w:rsidP="0050104B">
      <w:pPr>
        <w:jc w:val="both"/>
        <w:rPr>
          <w:rFonts w:ascii="Calibri" w:eastAsia="ヒラギノ角ゴ Pro W3" w:hAnsi="Calibri" w:cs="Times New Roman"/>
          <w:lang w:eastAsia="ru-RU"/>
        </w:rPr>
      </w:pPr>
      <w:r>
        <w:rPr>
          <w:rFonts w:ascii="Calibri" w:eastAsia="ヒラギノ角ゴ Pro W3" w:hAnsi="Calibri" w:cs="Times New Roman"/>
          <w:lang w:eastAsia="ru-RU"/>
        </w:rPr>
        <w:t xml:space="preserve">With the current consultancy, DRC wishes to get a holistic analysis of the gaps to be addressed in Georgia to ensure youth enjoy effective channels to step into the labor market, as entrepreneurs or skilled </w:t>
      </w:r>
      <w:r w:rsidR="009A1E4A">
        <w:rPr>
          <w:rFonts w:ascii="Calibri" w:eastAsia="ヒラギノ角ゴ Pro W3" w:hAnsi="Calibri" w:cs="Times New Roman"/>
          <w:lang w:eastAsia="ru-RU"/>
        </w:rPr>
        <w:t xml:space="preserve">workers. </w:t>
      </w:r>
    </w:p>
    <w:p w14:paraId="165C3C76" w14:textId="7602D3EB" w:rsidR="00FB296B" w:rsidRPr="00CB110D" w:rsidRDefault="00FB296B" w:rsidP="00FB296B">
      <w:pPr>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 xml:space="preserve">Overall Objective: </w:t>
      </w:r>
    </w:p>
    <w:p w14:paraId="5AA9D79E" w14:textId="713EBB34" w:rsidR="00625F5C" w:rsidRDefault="00625F5C" w:rsidP="00625F5C">
      <w:pPr>
        <w:jc w:val="both"/>
        <w:rPr>
          <w:rFonts w:ascii="Calibri" w:eastAsia="ヒラギノ角ゴ Pro W3" w:hAnsi="Calibri" w:cs="Times New Roman"/>
          <w:lang w:eastAsia="ru-RU"/>
        </w:rPr>
      </w:pPr>
      <w:r>
        <w:rPr>
          <w:rFonts w:ascii="Calibri" w:eastAsia="ヒラギノ角ゴ Pro W3" w:hAnsi="Calibri" w:cs="Times New Roman"/>
          <w:lang w:eastAsia="ru-RU"/>
        </w:rPr>
        <w:t xml:space="preserve">The present consultancy </w:t>
      </w:r>
      <w:r w:rsidR="009A1E4A">
        <w:rPr>
          <w:rFonts w:ascii="Calibri" w:eastAsia="ヒラギノ角ゴ Pro W3" w:hAnsi="Calibri" w:cs="Times New Roman"/>
          <w:lang w:eastAsia="ru-RU"/>
        </w:rPr>
        <w:t>seeks for</w:t>
      </w:r>
      <w:r w:rsidR="009A1E4A" w:rsidRPr="009A1E4A">
        <w:rPr>
          <w:rFonts w:eastAsia="Times New Roman"/>
          <w:color w:val="C00000"/>
        </w:rPr>
        <w:t xml:space="preserve"> </w:t>
      </w:r>
      <w:r w:rsidR="009A1E4A" w:rsidRPr="004B5183">
        <w:rPr>
          <w:rFonts w:eastAsia="Times New Roman"/>
        </w:rPr>
        <w:t>a critical analysis of enabling factors for social inclusion of youth in Georgia as a foundational element of entrepreneurship.</w:t>
      </w:r>
    </w:p>
    <w:p w14:paraId="3ADF6C62" w14:textId="197037D0" w:rsidR="009A1E4A" w:rsidRDefault="009A1E4A" w:rsidP="00625F5C">
      <w:pPr>
        <w:jc w:val="both"/>
        <w:rPr>
          <w:rFonts w:ascii="Calibri" w:eastAsia="ヒラギノ角ゴ Pro W3" w:hAnsi="Calibri" w:cs="Times New Roman"/>
          <w:lang w:eastAsia="ru-RU"/>
        </w:rPr>
      </w:pPr>
      <w:r>
        <w:rPr>
          <w:rFonts w:ascii="Calibri" w:eastAsia="ヒラギノ角ゴ Pro W3" w:hAnsi="Calibri" w:cs="Times New Roman"/>
          <w:lang w:eastAsia="ru-RU"/>
        </w:rPr>
        <w:t xml:space="preserve">The ultimate goal is to collect necessary evidence </w:t>
      </w:r>
      <w:r w:rsidR="00F20B23">
        <w:rPr>
          <w:rFonts w:ascii="Calibri" w:eastAsia="ヒラギノ角ゴ Pro W3" w:hAnsi="Calibri" w:cs="Times New Roman"/>
          <w:lang w:eastAsia="ru-RU"/>
        </w:rPr>
        <w:t>for</w:t>
      </w:r>
      <w:r>
        <w:rPr>
          <w:rFonts w:ascii="Calibri" w:eastAsia="ヒラギノ角ゴ Pro W3" w:hAnsi="Calibri" w:cs="Times New Roman"/>
          <w:lang w:eastAsia="ru-RU"/>
        </w:rPr>
        <w:t xml:space="preserve"> a possible piloting </w:t>
      </w:r>
      <w:r w:rsidR="00F20B23">
        <w:rPr>
          <w:rFonts w:ascii="Calibri" w:eastAsia="ヒラギノ角ゴ Pro W3" w:hAnsi="Calibri" w:cs="Times New Roman"/>
          <w:lang w:eastAsia="ru-RU"/>
        </w:rPr>
        <w:t xml:space="preserve">beyond the project </w:t>
      </w:r>
      <w:r>
        <w:rPr>
          <w:rFonts w:ascii="Calibri" w:eastAsia="ヒラギノ角ゴ Pro W3" w:hAnsi="Calibri" w:cs="Times New Roman"/>
          <w:lang w:eastAsia="ru-RU"/>
        </w:rPr>
        <w:t>of the Ultra Poor Graduation Approach (UPG) in Georgia, in line with the Poverty Alleviation Coalition (PAC) principles and guidelines, as an internationall</w:t>
      </w:r>
      <w:r w:rsidR="00F20B23">
        <w:rPr>
          <w:rFonts w:ascii="Calibri" w:eastAsia="ヒラギノ角ゴ Pro W3" w:hAnsi="Calibri" w:cs="Times New Roman"/>
          <w:lang w:eastAsia="ru-RU"/>
        </w:rPr>
        <w:t xml:space="preserve">y recognized alliance, founded in 2016 by the World Bank and UNHCR. DRC is one of the members of the Coalition. The latter looks among other dimensions at skills development, entrepreneurship strengthening and youth engagement, which are central to the present EU-funded project. </w:t>
      </w:r>
    </w:p>
    <w:p w14:paraId="7ACE15CD" w14:textId="589728C5" w:rsidR="00FB296B" w:rsidRPr="00F34ABC" w:rsidRDefault="00AE4B3F" w:rsidP="00F34ABC">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t xml:space="preserve"> </w:t>
      </w:r>
      <w:r w:rsidR="00FB296B" w:rsidRPr="00CB110D">
        <w:rPr>
          <w:rFonts w:ascii="Calibri" w:eastAsia="ヒラギノ角ゴ Pro W3" w:hAnsi="Calibri" w:cs="Times New Roman"/>
          <w:b/>
          <w:bCs/>
          <w:u w:val="single"/>
          <w:lang w:val="en-GB" w:eastAsia="ru-RU"/>
        </w:rPr>
        <w:t>Specific Objectives: </w:t>
      </w:r>
    </w:p>
    <w:p w14:paraId="4F2753C1" w14:textId="55B926CC"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1) Analyze the </w:t>
      </w:r>
      <w:r w:rsidR="00AE4B3F">
        <w:rPr>
          <w:rFonts w:ascii="Calibri" w:eastAsia="ヒラギノ角ゴ Pro W3" w:hAnsi="Calibri" w:cs="Times New Roman"/>
          <w:lang w:val="en-GB" w:eastAsia="ru-RU"/>
        </w:rPr>
        <w:t xml:space="preserve">current programmes </w:t>
      </w:r>
      <w:r w:rsidR="00F34ABC">
        <w:rPr>
          <w:rFonts w:ascii="Calibri" w:eastAsia="ヒラギノ角ゴ Pro W3" w:hAnsi="Calibri" w:cs="Times New Roman"/>
          <w:lang w:val="en-GB" w:eastAsia="ru-RU"/>
        </w:rPr>
        <w:t xml:space="preserve">schemes and programmes </w:t>
      </w:r>
      <w:r w:rsidR="00AE4B3F">
        <w:rPr>
          <w:rFonts w:ascii="Calibri" w:eastAsia="ヒラギノ角ゴ Pro W3" w:hAnsi="Calibri" w:cs="Times New Roman"/>
          <w:lang w:val="en-GB" w:eastAsia="ru-RU"/>
        </w:rPr>
        <w:t xml:space="preserve">implemented by </w:t>
      </w:r>
      <w:r w:rsidR="00F34ABC">
        <w:rPr>
          <w:rFonts w:ascii="Calibri" w:eastAsia="ヒラギノ角ゴ Pro W3" w:hAnsi="Calibri" w:cs="Times New Roman"/>
          <w:lang w:val="en-GB" w:eastAsia="ru-RU"/>
        </w:rPr>
        <w:t xml:space="preserve">LEPL Social Service Agency (SSA) under Ministry of IDPs from Occupied Territories, Labour, Health and Social Affairs of Georgia towards </w:t>
      </w:r>
      <w:r w:rsidR="00F34ABC" w:rsidRPr="00F34ABC">
        <w:rPr>
          <w:rFonts w:ascii="Calibri" w:eastAsia="ヒラギノ角ゴ Pro W3" w:hAnsi="Calibri" w:cs="Times New Roman"/>
          <w:b/>
          <w:bCs/>
          <w:lang w:val="en-GB" w:eastAsia="ru-RU"/>
        </w:rPr>
        <w:t>social protection</w:t>
      </w:r>
      <w:r w:rsidR="00F34ABC">
        <w:rPr>
          <w:rFonts w:ascii="Calibri" w:eastAsia="ヒラギノ角ゴ Pro W3" w:hAnsi="Calibri" w:cs="Times New Roman"/>
          <w:lang w:val="en-GB" w:eastAsia="ru-RU"/>
        </w:rPr>
        <w:t xml:space="preserve"> of vulnerable groups to support basic income security of families;</w:t>
      </w:r>
    </w:p>
    <w:p w14:paraId="210B63F6" w14:textId="2C5B9B53" w:rsidR="00FB296B" w:rsidRPr="00CB110D" w:rsidRDefault="00AE4B3F" w:rsidP="0081483D">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t>2</w:t>
      </w:r>
      <w:r w:rsidR="00FB296B" w:rsidRPr="00CB110D">
        <w:rPr>
          <w:rFonts w:ascii="Calibri" w:eastAsia="ヒラギノ角ゴ Pro W3" w:hAnsi="Calibri" w:cs="Times New Roman"/>
          <w:lang w:val="en-GB" w:eastAsia="ru-RU"/>
        </w:rPr>
        <w:t xml:space="preserve">) </w:t>
      </w:r>
      <w:r>
        <w:rPr>
          <w:rFonts w:ascii="Calibri" w:eastAsia="ヒラギノ角ゴ Pro W3" w:hAnsi="Calibri" w:cs="Times New Roman"/>
          <w:lang w:val="en-GB" w:eastAsia="ru-RU"/>
        </w:rPr>
        <w:t>Identify</w:t>
      </w:r>
      <w:r w:rsidR="00FB296B" w:rsidRPr="00CB110D">
        <w:rPr>
          <w:rFonts w:ascii="Calibri" w:eastAsia="ヒラギノ角ゴ Pro W3" w:hAnsi="Calibri" w:cs="Times New Roman"/>
          <w:lang w:val="en-GB" w:eastAsia="ru-RU"/>
        </w:rPr>
        <w:t xml:space="preserve"> </w:t>
      </w:r>
      <w:r>
        <w:rPr>
          <w:rFonts w:ascii="Calibri" w:eastAsia="ヒラギノ角ゴ Pro W3" w:hAnsi="Calibri" w:cs="Times New Roman"/>
          <w:lang w:val="en-GB" w:eastAsia="ru-RU"/>
        </w:rPr>
        <w:t xml:space="preserve">the evidenced </w:t>
      </w:r>
      <w:r w:rsidR="00F34ABC" w:rsidRPr="00F34ABC">
        <w:rPr>
          <w:rFonts w:ascii="Calibri" w:eastAsia="ヒラギノ角ゴ Pro W3" w:hAnsi="Calibri" w:cs="Times New Roman"/>
          <w:b/>
          <w:bCs/>
          <w:lang w:val="en-GB" w:eastAsia="ru-RU"/>
        </w:rPr>
        <w:t>youth participation</w:t>
      </w:r>
      <w:r w:rsidR="00F34ABC">
        <w:rPr>
          <w:rFonts w:ascii="Calibri" w:eastAsia="ヒラギノ角ゴ Pro W3" w:hAnsi="Calibri" w:cs="Times New Roman"/>
          <w:b/>
          <w:bCs/>
          <w:lang w:val="en-GB" w:eastAsia="ru-RU"/>
        </w:rPr>
        <w:t xml:space="preserve"> as actors for change</w:t>
      </w:r>
      <w:r w:rsidR="00F34ABC">
        <w:rPr>
          <w:rFonts w:ascii="Calibri" w:eastAsia="ヒラギノ角ゴ Pro W3" w:hAnsi="Calibri" w:cs="Times New Roman"/>
          <w:lang w:val="en-GB" w:eastAsia="ru-RU"/>
        </w:rPr>
        <w:t xml:space="preserve"> in their communities through inclusion, empowerment and capacitating activities initiated by the LEPL Youth Agency in cooperation with various state and non-state actors;</w:t>
      </w:r>
    </w:p>
    <w:p w14:paraId="4D06A9C9" w14:textId="16BA95D1" w:rsidR="00FB296B" w:rsidRPr="00CB110D" w:rsidRDefault="00AE4B3F" w:rsidP="0081483D">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lastRenderedPageBreak/>
        <w:t>3</w:t>
      </w:r>
      <w:r w:rsidR="00FB296B" w:rsidRPr="00CB110D">
        <w:rPr>
          <w:rFonts w:ascii="Calibri" w:eastAsia="ヒラギノ角ゴ Pro W3" w:hAnsi="Calibri" w:cs="Times New Roman"/>
          <w:lang w:val="en-GB" w:eastAsia="ru-RU"/>
        </w:rPr>
        <w:t xml:space="preserve">) </w:t>
      </w:r>
      <w:r w:rsidR="00F34ABC">
        <w:rPr>
          <w:rFonts w:ascii="Calibri" w:eastAsia="ヒラギノ角ゴ Pro W3" w:hAnsi="Calibri" w:cs="Times New Roman"/>
          <w:lang w:val="en-GB" w:eastAsia="ru-RU"/>
        </w:rPr>
        <w:t xml:space="preserve">Analyze </w:t>
      </w:r>
      <w:r w:rsidR="009A1E4A">
        <w:rPr>
          <w:rFonts w:ascii="Calibri" w:eastAsia="ヒラギノ角ゴ Pro W3" w:hAnsi="Calibri" w:cs="Times New Roman"/>
          <w:lang w:val="en-GB" w:eastAsia="ru-RU"/>
        </w:rPr>
        <w:t xml:space="preserve">existing programs at central or municipal level which either entail forms of humanitarian support to marginalized youth to step out of poverty or include tailored initiatives in support of </w:t>
      </w:r>
      <w:r w:rsidR="00F34ABC" w:rsidRPr="00F34ABC">
        <w:rPr>
          <w:rFonts w:ascii="Calibri" w:eastAsia="ヒラギノ角ゴ Pro W3" w:hAnsi="Calibri" w:cs="Times New Roman"/>
          <w:b/>
          <w:bCs/>
          <w:lang w:val="en-GB" w:eastAsia="ru-RU"/>
        </w:rPr>
        <w:t>financial literacy and inclusion</w:t>
      </w:r>
      <w:r w:rsidR="00F34ABC">
        <w:rPr>
          <w:rFonts w:ascii="Calibri" w:eastAsia="ヒラギノ角ゴ Pro W3" w:hAnsi="Calibri" w:cs="Times New Roman"/>
          <w:lang w:val="en-GB" w:eastAsia="ru-RU"/>
        </w:rPr>
        <w:t xml:space="preserve"> of vulnerable groups for </w:t>
      </w:r>
      <w:r w:rsidR="00F34ABC" w:rsidRPr="00F34ABC">
        <w:rPr>
          <w:rFonts w:ascii="Calibri" w:eastAsia="ヒラギノ角ゴ Pro W3" w:hAnsi="Calibri" w:cs="Times New Roman"/>
          <w:lang w:val="en-GB" w:eastAsia="ru-RU"/>
        </w:rPr>
        <w:t xml:space="preserve">improved income, risk management and access to financial services </w:t>
      </w:r>
      <w:r w:rsidR="00F34ABC">
        <w:rPr>
          <w:rFonts w:ascii="Calibri" w:eastAsia="ヒラギノ角ゴ Pro W3" w:hAnsi="Calibri" w:cs="Times New Roman"/>
          <w:lang w:val="en-GB" w:eastAsia="ru-RU"/>
        </w:rPr>
        <w:t>for basic resilience of families.</w:t>
      </w:r>
      <w:r w:rsidR="00F34ABC">
        <w:rPr>
          <w:rFonts w:ascii="Gill Sans MT" w:hAnsi="Gill Sans MT"/>
          <w:sz w:val="24"/>
          <w:szCs w:val="24"/>
        </w:rPr>
        <w:t xml:space="preserve">  </w:t>
      </w:r>
    </w:p>
    <w:p w14:paraId="3DB35DAF" w14:textId="092538CC" w:rsidR="00A15C04" w:rsidRPr="00CB110D" w:rsidRDefault="00A15C04" w:rsidP="0081483D">
      <w:pPr>
        <w:shd w:val="clear" w:color="auto" w:fill="FFFFFF"/>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Duration and proposed timeframe:</w:t>
      </w:r>
      <w:r w:rsidRPr="009835D7">
        <w:rPr>
          <w:rFonts w:ascii="Calibri" w:eastAsia="ヒラギノ角ゴ Pro W3" w:hAnsi="Calibri" w:cs="Times New Roman"/>
          <w:lang w:val="en-GB" w:eastAsia="ru-RU"/>
        </w:rPr>
        <w:t xml:space="preserve">  </w:t>
      </w:r>
      <w:r w:rsidRPr="00CB110D">
        <w:rPr>
          <w:rFonts w:ascii="Calibri" w:eastAsia="ヒラギノ角ゴ Pro W3" w:hAnsi="Calibri" w:cs="Times New Roman"/>
          <w:lang w:val="en-GB" w:eastAsia="ru-RU"/>
        </w:rPr>
        <w:t xml:space="preserve">The duration of the assignment is </w:t>
      </w:r>
      <w:r w:rsidR="00CC6DF9">
        <w:rPr>
          <w:rFonts w:ascii="Calibri" w:eastAsia="ヒラギノ角ゴ Pro W3" w:hAnsi="Calibri" w:cs="Times New Roman"/>
          <w:lang w:val="en-GB" w:eastAsia="ru-RU"/>
        </w:rPr>
        <w:t>1 month</w:t>
      </w:r>
    </w:p>
    <w:p w14:paraId="5F2C8327" w14:textId="30458285" w:rsidR="00051D60" w:rsidRPr="00430C65" w:rsidRDefault="00A15C04" w:rsidP="00CC6DF9">
      <w:pPr>
        <w:tabs>
          <w:tab w:val="left" w:pos="360"/>
        </w:tabs>
        <w:spacing w:before="24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b/>
          <w:bCs/>
          <w:u w:val="single"/>
          <w:lang w:val="en-GB" w:eastAsia="ru-RU"/>
        </w:rPr>
        <w:t>Consultancy fee:</w:t>
      </w:r>
      <w:r w:rsidRPr="00CB110D">
        <w:rPr>
          <w:rFonts w:ascii="Calibri" w:eastAsia="ヒラギノ角ゴ Pro W3" w:hAnsi="Calibri" w:cs="Times New Roman"/>
          <w:lang w:val="en-GB" w:eastAsia="ru-RU"/>
        </w:rPr>
        <w:t xml:space="preserve"> </w:t>
      </w:r>
      <w:bookmarkStart w:id="0" w:name="_Hlk66716354"/>
      <w:r w:rsidRPr="00CB110D">
        <w:rPr>
          <w:rFonts w:ascii="Calibri" w:eastAsia="ヒラギノ角ゴ Pro W3" w:hAnsi="Calibri" w:cs="Times New Roman"/>
          <w:lang w:val="en-GB" w:eastAsia="ru-RU"/>
        </w:rPr>
        <w:t xml:space="preserve">Bidder shall indicate the expected fee for the consultancy service in </w:t>
      </w:r>
      <w:r w:rsidR="00916963">
        <w:rPr>
          <w:rFonts w:ascii="Calibri" w:eastAsia="ヒラギノ角ゴ Pro W3" w:hAnsi="Calibri" w:cs="Times New Roman"/>
          <w:lang w:val="en-GB" w:eastAsia="ru-RU"/>
        </w:rPr>
        <w:t>GEL</w:t>
      </w:r>
      <w:r w:rsidR="00350102">
        <w:rPr>
          <w:rFonts w:ascii="Calibri" w:eastAsia="ヒラギノ角ゴ Pro W3" w:hAnsi="Calibri" w:cs="Times New Roman"/>
          <w:lang w:val="en-GB" w:eastAsia="ru-RU"/>
        </w:rPr>
        <w:t xml:space="preserve"> (VAT excluded)</w:t>
      </w:r>
      <w:r w:rsidRPr="00CB110D">
        <w:rPr>
          <w:rFonts w:ascii="Calibri" w:eastAsia="ヒラギノ角ゴ Pro W3" w:hAnsi="Calibri" w:cs="Times New Roman"/>
          <w:lang w:val="en-GB" w:eastAsia="ru-RU"/>
        </w:rPr>
        <w:t xml:space="preserve">, including all costs related to the assignment through the filled and signed RFQ form (attached). Payment will be done upon the submission of a </w:t>
      </w:r>
      <w:bookmarkEnd w:id="0"/>
      <w:r w:rsidRPr="00CB110D">
        <w:rPr>
          <w:rFonts w:ascii="Calibri" w:eastAsia="ヒラギノ角ゴ Pro W3" w:hAnsi="Calibri" w:cs="Times New Roman"/>
          <w:lang w:val="en-GB" w:eastAsia="ru-RU"/>
        </w:rPr>
        <w:t>final report.</w:t>
      </w:r>
    </w:p>
    <w:p w14:paraId="587DC731" w14:textId="77777777" w:rsidR="009861A0" w:rsidRPr="00CB110D" w:rsidRDefault="009861A0" w:rsidP="00114B83">
      <w:pPr>
        <w:pStyle w:val="NoSpacing"/>
        <w:jc w:val="both"/>
        <w:rPr>
          <w:rFonts w:cs="Arial"/>
          <w:b/>
          <w:bCs/>
          <w:color w:val="auto"/>
          <w:sz w:val="24"/>
          <w:szCs w:val="24"/>
          <w:u w:val="single"/>
        </w:rPr>
      </w:pPr>
    </w:p>
    <w:p w14:paraId="2F4B7B10" w14:textId="41CE93B9" w:rsidR="00114B83" w:rsidRPr="00CB110D" w:rsidRDefault="001A53AA" w:rsidP="00430C65">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Required Deliverables</w:t>
      </w:r>
      <w:r w:rsidR="00950122" w:rsidRPr="00CB110D">
        <w:rPr>
          <w:rFonts w:cs="Arial"/>
          <w:b/>
          <w:bCs/>
          <w:color w:val="auto"/>
          <w:sz w:val="24"/>
          <w:szCs w:val="24"/>
          <w:u w:val="single"/>
        </w:rPr>
        <w:t xml:space="preserve"> and timelines </w:t>
      </w:r>
    </w:p>
    <w:p w14:paraId="0DCBD7AA" w14:textId="77777777" w:rsidR="00BE5884" w:rsidRPr="00CB110D" w:rsidRDefault="00BE5884" w:rsidP="00E06F23">
      <w:pPr>
        <w:pStyle w:val="NoSpacing"/>
        <w:jc w:val="both"/>
        <w:rPr>
          <w:rFonts w:asciiTheme="minorHAnsi" w:eastAsiaTheme="minorHAnsi" w:hAnsiTheme="minorHAnsi" w:cs="Arial"/>
          <w:color w:val="auto"/>
          <w:szCs w:val="22"/>
          <w:lang w:eastAsia="en-US"/>
        </w:rPr>
      </w:pPr>
    </w:p>
    <w:p w14:paraId="7DBCD4CC" w14:textId="27E2155F" w:rsidR="00114B83" w:rsidRPr="00CB110D" w:rsidRDefault="00E06F23" w:rsidP="00B572B2">
      <w:pPr>
        <w:pStyle w:val="NoSpacing"/>
        <w:jc w:val="both"/>
        <w:rPr>
          <w:color w:val="auto"/>
          <w:szCs w:val="22"/>
          <w:lang w:val="en-GB"/>
        </w:rPr>
      </w:pPr>
      <w:r w:rsidRPr="00CB110D">
        <w:rPr>
          <w:lang w:val="en-GB"/>
        </w:rPr>
        <w:t xml:space="preserve">The selected </w:t>
      </w:r>
      <w:r w:rsidR="00F34ABC">
        <w:rPr>
          <w:lang w:val="en-GB"/>
        </w:rPr>
        <w:t>consultant</w:t>
      </w:r>
      <w:r w:rsidRPr="00CB110D">
        <w:rPr>
          <w:lang w:val="en-GB"/>
        </w:rPr>
        <w:t xml:space="preserve"> is required to provide one analytical report </w:t>
      </w:r>
      <w:r w:rsidR="00F34ABC">
        <w:rPr>
          <w:lang w:val="en-GB"/>
        </w:rPr>
        <w:t xml:space="preserve">analyzing above-mentioned 3 dimensions for enabling factors towards social inclusion of vulnerable groups, youth in the first place in Georgia. </w:t>
      </w:r>
      <w:r w:rsidR="00114B83" w:rsidRPr="00CB110D">
        <w:rPr>
          <w:color w:val="auto"/>
          <w:szCs w:val="22"/>
          <w:lang w:val="en-GB"/>
        </w:rPr>
        <w:t>Report should include:</w:t>
      </w:r>
    </w:p>
    <w:p w14:paraId="503C9AF5"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Executive summary (max. 2 pages)</w:t>
      </w:r>
    </w:p>
    <w:p w14:paraId="401184CB"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Description of the methodology and data collection methods</w:t>
      </w:r>
    </w:p>
    <w:p w14:paraId="63F9D9A4" w14:textId="2B1EA587" w:rsidR="002805BB" w:rsidRPr="00CB110D" w:rsidRDefault="002805BB" w:rsidP="00B572B2">
      <w:pPr>
        <w:pStyle w:val="NoSpacing"/>
        <w:ind w:left="360"/>
        <w:jc w:val="both"/>
        <w:rPr>
          <w:color w:val="auto"/>
          <w:szCs w:val="22"/>
          <w:lang w:val="en-GB"/>
        </w:rPr>
      </w:pPr>
    </w:p>
    <w:p w14:paraId="5578E865" w14:textId="31B772CC"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Final research report should not exceed 2</w:t>
      </w:r>
      <w:r w:rsidR="00430C65">
        <w:rPr>
          <w:rFonts w:ascii="Calibri" w:eastAsia="ヒラギノ角ゴ Pro W3" w:hAnsi="Calibri" w:cs="Times New Roman"/>
          <w:lang w:val="en-GB" w:eastAsia="ru-RU"/>
        </w:rPr>
        <w:t>0</w:t>
      </w:r>
      <w:r w:rsidR="009A1E4A">
        <w:rPr>
          <w:rFonts w:ascii="Calibri" w:eastAsia="ヒラギノ角ゴ Pro W3" w:hAnsi="Calibri" w:cs="Times New Roman"/>
          <w:lang w:val="en-GB" w:eastAsia="ru-RU"/>
        </w:rPr>
        <w:t>-25</w:t>
      </w:r>
      <w:r w:rsidRPr="00CB110D">
        <w:rPr>
          <w:rFonts w:ascii="Calibri" w:eastAsia="ヒラギノ角ゴ Pro W3" w:hAnsi="Calibri" w:cs="Times New Roman"/>
          <w:lang w:val="en-GB" w:eastAsia="ru-RU"/>
        </w:rPr>
        <w:t xml:space="preserve"> pages (excluding annexes).</w:t>
      </w:r>
    </w:p>
    <w:p w14:paraId="1A784F53" w14:textId="79ED3BA3"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All deliverables to be submitted in English via email to DRC. All deliverables are subject to DRC review and </w:t>
      </w:r>
      <w:r w:rsidR="00E06F23" w:rsidRPr="00CB110D">
        <w:rPr>
          <w:rFonts w:ascii="Calibri" w:eastAsia="ヒラギノ角ゴ Pro W3" w:hAnsi="Calibri" w:cs="Times New Roman"/>
          <w:lang w:val="en-GB" w:eastAsia="ru-RU"/>
        </w:rPr>
        <w:t xml:space="preserve">comments. </w:t>
      </w:r>
    </w:p>
    <w:p w14:paraId="1487D475" w14:textId="77777777"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Final research report will be the sole property of DRC, which will retain the right to use it for internal and external purposes.</w:t>
      </w:r>
    </w:p>
    <w:p w14:paraId="30DF5EBE" w14:textId="77777777" w:rsidR="008B5F09" w:rsidRPr="00CB110D" w:rsidRDefault="008B5F09" w:rsidP="005A235E">
      <w:pPr>
        <w:pStyle w:val="NoSpacing"/>
        <w:jc w:val="both"/>
        <w:rPr>
          <w:rFonts w:cs="Arial"/>
          <w:b/>
          <w:bCs/>
          <w:color w:val="auto"/>
          <w:sz w:val="24"/>
          <w:szCs w:val="24"/>
          <w:u w:val="single"/>
        </w:rPr>
      </w:pPr>
    </w:p>
    <w:p w14:paraId="348AE6A2" w14:textId="19BF8910" w:rsidR="00FB1D38" w:rsidRPr="00CB110D" w:rsidRDefault="00445EAB"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 xml:space="preserve">Required Qualifications and Experience </w:t>
      </w:r>
    </w:p>
    <w:p w14:paraId="7DD4E09C" w14:textId="3F4ECC70" w:rsidR="00BD58C1" w:rsidRPr="00CB110D" w:rsidRDefault="00F10643" w:rsidP="00506279">
      <w:pPr>
        <w:pStyle w:val="NoSpacing"/>
        <w:jc w:val="both"/>
        <w:rPr>
          <w:color w:val="auto"/>
          <w:szCs w:val="22"/>
          <w:lang w:val="en-GB"/>
        </w:rPr>
      </w:pPr>
      <w:r w:rsidRPr="00CB110D">
        <w:rPr>
          <w:color w:val="auto"/>
          <w:szCs w:val="22"/>
          <w:lang w:val="en-GB"/>
        </w:rPr>
        <w:t>D</w:t>
      </w:r>
      <w:r w:rsidR="00B00A29" w:rsidRPr="00CB110D">
        <w:rPr>
          <w:color w:val="auto"/>
          <w:szCs w:val="22"/>
          <w:lang w:val="en-GB"/>
        </w:rPr>
        <w:t>RC</w:t>
      </w:r>
      <w:r w:rsidRPr="00CB110D">
        <w:rPr>
          <w:color w:val="auto"/>
          <w:szCs w:val="22"/>
          <w:lang w:val="en-GB"/>
        </w:rPr>
        <w:t xml:space="preserve"> is seeking applications from individual consultant/expert. </w:t>
      </w:r>
      <w:r w:rsidR="00FB1D38" w:rsidRPr="00CB110D">
        <w:rPr>
          <w:color w:val="auto"/>
          <w:szCs w:val="22"/>
          <w:lang w:val="en-GB"/>
        </w:rPr>
        <w:t xml:space="preserve">The successful </w:t>
      </w:r>
      <w:r w:rsidR="00C852C4" w:rsidRPr="00CB110D">
        <w:rPr>
          <w:color w:val="auto"/>
          <w:szCs w:val="22"/>
          <w:lang w:val="en-GB"/>
        </w:rPr>
        <w:t>expert</w:t>
      </w:r>
      <w:r w:rsidR="00FB1D38" w:rsidRPr="00CB110D">
        <w:rPr>
          <w:color w:val="auto"/>
          <w:szCs w:val="22"/>
          <w:lang w:val="en-GB"/>
        </w:rPr>
        <w:t xml:space="preserve"> should have a minimum of the following qualifications and experience:</w:t>
      </w:r>
    </w:p>
    <w:p w14:paraId="236A4783" w14:textId="77777777" w:rsidR="004C1722" w:rsidRPr="00CB110D" w:rsidRDefault="004C1722" w:rsidP="00506279">
      <w:pPr>
        <w:pStyle w:val="NoSpacing"/>
        <w:jc w:val="both"/>
        <w:rPr>
          <w:color w:val="auto"/>
          <w:szCs w:val="22"/>
          <w:lang w:val="en-GB"/>
        </w:rPr>
      </w:pPr>
    </w:p>
    <w:p w14:paraId="5A3F0748" w14:textId="55F416D7" w:rsidR="00F8389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An advanced degree in </w:t>
      </w:r>
      <w:r w:rsidR="00CC6DF9">
        <w:rPr>
          <w:rFonts w:ascii="Calibri" w:eastAsia="ヒラギノ角ゴ Pro W3" w:hAnsi="Calibri" w:cs="Times New Roman"/>
          <w:lang w:val="en-GB" w:eastAsia="ru-RU"/>
        </w:rPr>
        <w:t>economy</w:t>
      </w:r>
      <w:r w:rsidR="0086733F" w:rsidRPr="00CB110D">
        <w:rPr>
          <w:rFonts w:ascii="Calibri" w:eastAsia="ヒラギノ角ゴ Pro W3" w:hAnsi="Calibri" w:cs="Times New Roman"/>
          <w:lang w:val="en-GB" w:eastAsia="ru-RU"/>
        </w:rPr>
        <w:t>,</w:t>
      </w:r>
      <w:r w:rsidRPr="00CB110D">
        <w:rPr>
          <w:rFonts w:ascii="Calibri" w:eastAsia="ヒラギノ角ゴ Pro W3" w:hAnsi="Calibri" w:cs="Times New Roman"/>
          <w:lang w:val="en-GB" w:eastAsia="ru-RU"/>
        </w:rPr>
        <w:t xml:space="preserve"> </w:t>
      </w:r>
      <w:r w:rsidR="00F34ABC">
        <w:rPr>
          <w:rFonts w:ascii="Calibri" w:eastAsia="ヒラギノ角ゴ Pro W3" w:hAnsi="Calibri" w:cs="Times New Roman"/>
          <w:lang w:val="en-GB" w:eastAsia="ru-RU"/>
        </w:rPr>
        <w:t xml:space="preserve">social </w:t>
      </w:r>
      <w:r w:rsidR="005A1332">
        <w:rPr>
          <w:rFonts w:ascii="Calibri" w:eastAsia="ヒラギノ角ゴ Pro W3" w:hAnsi="Calibri" w:cs="Times New Roman"/>
          <w:lang w:val="en-GB" w:eastAsia="ru-RU"/>
        </w:rPr>
        <w:t xml:space="preserve">services, </w:t>
      </w:r>
      <w:r w:rsidR="00CC6DF9">
        <w:rPr>
          <w:rFonts w:ascii="Calibri" w:eastAsia="ヒラギノ角ゴ Pro W3" w:hAnsi="Calibri" w:cs="Times New Roman"/>
          <w:lang w:val="en-GB" w:eastAsia="ru-RU"/>
        </w:rPr>
        <w:t xml:space="preserve">entrepreneurship, </w:t>
      </w:r>
      <w:r w:rsidRPr="00CB110D">
        <w:rPr>
          <w:rFonts w:ascii="Calibri" w:eastAsia="ヒラギノ角ゴ Pro W3" w:hAnsi="Calibri" w:cs="Times New Roman"/>
          <w:lang w:val="en-GB" w:eastAsia="ru-RU"/>
        </w:rPr>
        <w:t xml:space="preserve">or other related field; </w:t>
      </w:r>
    </w:p>
    <w:p w14:paraId="712F836A" w14:textId="61FBE613" w:rsidR="00BD58C1" w:rsidRPr="00CB110D" w:rsidRDefault="00F83892"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Minimum of </w:t>
      </w:r>
      <w:r w:rsidR="00630691" w:rsidRPr="00CB110D">
        <w:rPr>
          <w:rFonts w:ascii="Calibri" w:eastAsia="ヒラギノ角ゴ Pro W3" w:hAnsi="Calibri" w:cs="Times New Roman"/>
          <w:lang w:val="en-GB" w:eastAsia="ru-RU"/>
        </w:rPr>
        <w:t>5</w:t>
      </w:r>
      <w:r w:rsidRPr="00CB110D">
        <w:rPr>
          <w:rFonts w:ascii="Calibri" w:eastAsia="ヒラギノ角ゴ Pro W3" w:hAnsi="Calibri" w:cs="Times New Roman"/>
          <w:lang w:val="en-GB" w:eastAsia="ru-RU"/>
        </w:rPr>
        <w:t xml:space="preserve"> years of </w:t>
      </w:r>
      <w:r w:rsidR="005A1332">
        <w:rPr>
          <w:rFonts w:ascii="Calibri" w:eastAsia="ヒラギノ角ゴ Pro W3" w:hAnsi="Calibri" w:cs="Times New Roman"/>
          <w:lang w:val="en-GB" w:eastAsia="ru-RU"/>
        </w:rPr>
        <w:t xml:space="preserve">demonstrated </w:t>
      </w:r>
      <w:r w:rsidRPr="00CB110D">
        <w:rPr>
          <w:rFonts w:ascii="Calibri" w:eastAsia="ヒラギノ角ゴ Pro W3" w:hAnsi="Calibri" w:cs="Times New Roman"/>
          <w:lang w:val="en-GB" w:eastAsia="ru-RU"/>
        </w:rPr>
        <w:t xml:space="preserve">experience in </w:t>
      </w:r>
      <w:r w:rsidR="00CC6DF9">
        <w:rPr>
          <w:rFonts w:ascii="Calibri" w:eastAsia="ヒラギノ角ゴ Pro W3" w:hAnsi="Calibri" w:cs="Times New Roman"/>
          <w:lang w:val="en-GB" w:eastAsia="ru-RU"/>
        </w:rPr>
        <w:t xml:space="preserve">the sector of </w:t>
      </w:r>
      <w:r w:rsidR="005A1332">
        <w:rPr>
          <w:rFonts w:ascii="Calibri" w:eastAsia="ヒラギノ角ゴ Pro W3" w:hAnsi="Calibri" w:cs="Times New Roman"/>
          <w:lang w:val="en-GB" w:eastAsia="ru-RU"/>
        </w:rPr>
        <w:t xml:space="preserve">social protection, </w:t>
      </w:r>
      <w:r w:rsidR="00CC6DF9">
        <w:rPr>
          <w:rFonts w:ascii="Calibri" w:eastAsia="ヒラギノ角ゴ Pro W3" w:hAnsi="Calibri" w:cs="Times New Roman"/>
          <w:lang w:val="en-GB" w:eastAsia="ru-RU"/>
        </w:rPr>
        <w:t>economy</w:t>
      </w:r>
      <w:r w:rsidR="00EA606E" w:rsidRPr="00CB110D">
        <w:rPr>
          <w:rFonts w:ascii="Calibri" w:eastAsia="ヒラギノ角ゴ Pro W3" w:hAnsi="Calibri" w:cs="Times New Roman"/>
          <w:lang w:val="en-GB" w:eastAsia="ru-RU"/>
        </w:rPr>
        <w:t xml:space="preserve"> or working </w:t>
      </w:r>
      <w:r w:rsidR="00CC6DF9">
        <w:rPr>
          <w:rFonts w:ascii="Calibri" w:eastAsia="ヒラギノ角ゴ Pro W3" w:hAnsi="Calibri" w:cs="Times New Roman"/>
          <w:lang w:val="en-GB" w:eastAsia="ru-RU"/>
        </w:rPr>
        <w:t>with entrepreneurship field;</w:t>
      </w:r>
    </w:p>
    <w:p w14:paraId="7300DC36" w14:textId="41693BF2" w:rsidR="00EA606E" w:rsidRPr="00CB110D" w:rsidRDefault="00EA606E"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Demonstrated experience in carrying out research and analysis independently;</w:t>
      </w:r>
    </w:p>
    <w:p w14:paraId="3D081860" w14:textId="409067C9" w:rsidR="004C172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Significant practical experience in </w:t>
      </w:r>
      <w:r w:rsidR="00EA606E" w:rsidRPr="00CB110D">
        <w:rPr>
          <w:rFonts w:ascii="Calibri" w:eastAsia="ヒラギノ角ゴ Pro W3" w:hAnsi="Calibri" w:cs="Times New Roman"/>
          <w:lang w:val="en-GB" w:eastAsia="ru-RU"/>
        </w:rPr>
        <w:t xml:space="preserve">analytical </w:t>
      </w:r>
      <w:r w:rsidRPr="00CB110D">
        <w:rPr>
          <w:rFonts w:ascii="Calibri" w:eastAsia="ヒラギノ角ゴ Pro W3" w:hAnsi="Calibri" w:cs="Times New Roman"/>
          <w:lang w:val="en-GB" w:eastAsia="ru-RU"/>
        </w:rPr>
        <w:t xml:space="preserve">report </w:t>
      </w:r>
      <w:r w:rsidR="005A1332">
        <w:rPr>
          <w:rFonts w:ascii="Calibri" w:eastAsia="ヒラギノ角ゴ Pro W3" w:hAnsi="Calibri" w:cs="Times New Roman"/>
          <w:lang w:val="en-GB" w:eastAsia="ru-RU"/>
        </w:rPr>
        <w:t>development;</w:t>
      </w:r>
    </w:p>
    <w:p w14:paraId="6C177161" w14:textId="187368EE" w:rsidR="00C24915" w:rsidRPr="00CB110D" w:rsidRDefault="00C24915"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Strong analytical skills;</w:t>
      </w:r>
    </w:p>
    <w:p w14:paraId="6DBC46FB" w14:textId="315B7E37" w:rsidR="004C1722" w:rsidRPr="00CB110D" w:rsidRDefault="004211C6"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w:t>
      </w:r>
      <w:r w:rsidR="00B93CEC" w:rsidRPr="00CB110D">
        <w:rPr>
          <w:rFonts w:ascii="Calibri" w:eastAsia="ヒラギノ角ゴ Pro W3" w:hAnsi="Calibri" w:cs="Times New Roman"/>
          <w:lang w:val="en-GB" w:eastAsia="ru-RU"/>
        </w:rPr>
        <w:t xml:space="preserve">luency in English is </w:t>
      </w:r>
      <w:r w:rsidR="00C24915" w:rsidRPr="00CB110D">
        <w:rPr>
          <w:rFonts w:ascii="Calibri" w:eastAsia="ヒラギノ角ゴ Pro W3" w:hAnsi="Calibri" w:cs="Times New Roman"/>
          <w:lang w:val="en-GB" w:eastAsia="ru-RU"/>
        </w:rPr>
        <w:t xml:space="preserve">a </w:t>
      </w:r>
      <w:r w:rsidR="00B93CEC" w:rsidRPr="00CB110D">
        <w:rPr>
          <w:rFonts w:ascii="Calibri" w:eastAsia="ヒラギノ角ゴ Pro W3" w:hAnsi="Calibri" w:cs="Times New Roman"/>
          <w:lang w:val="en-GB" w:eastAsia="ru-RU"/>
        </w:rPr>
        <w:t>mandatory</w:t>
      </w:r>
      <w:r w:rsidR="00EB584A" w:rsidRPr="00CB110D">
        <w:rPr>
          <w:rFonts w:ascii="Calibri" w:eastAsia="ヒラギノ角ゴ Pro W3" w:hAnsi="Calibri" w:cs="Times New Roman"/>
          <w:lang w:val="en-GB" w:eastAsia="ru-RU"/>
        </w:rPr>
        <w:t>.</w:t>
      </w:r>
    </w:p>
    <w:p w14:paraId="7AD729E1" w14:textId="2B6EA230" w:rsidR="00630691" w:rsidRPr="00CB110D" w:rsidRDefault="00630691" w:rsidP="00506279">
      <w:pPr>
        <w:pStyle w:val="NoSpacing"/>
        <w:jc w:val="both"/>
        <w:rPr>
          <w:color w:val="auto"/>
          <w:szCs w:val="22"/>
          <w:lang w:val="en-GB"/>
        </w:rPr>
      </w:pPr>
    </w:p>
    <w:p w14:paraId="4E50D23F" w14:textId="77777777" w:rsidR="00630691" w:rsidRPr="00CB110D" w:rsidRDefault="00630691" w:rsidP="00506279">
      <w:pPr>
        <w:pStyle w:val="NoSpacing"/>
        <w:jc w:val="both"/>
        <w:rPr>
          <w:rFonts w:cs="Arial"/>
          <w:b/>
          <w:color w:val="auto"/>
          <w:sz w:val="24"/>
          <w:szCs w:val="24"/>
        </w:rPr>
      </w:pPr>
    </w:p>
    <w:p w14:paraId="178E4780" w14:textId="73D48BE6" w:rsidR="00675300" w:rsidRPr="00CB110D"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Procedure for submission of quotation</w:t>
      </w:r>
    </w:p>
    <w:p w14:paraId="2E5D0B30" w14:textId="77777777" w:rsidR="00B36803" w:rsidRPr="00CB110D" w:rsidRDefault="007D3665" w:rsidP="00B36803">
      <w:pPr>
        <w:pStyle w:val="NoSpacing"/>
        <w:spacing w:before="240"/>
        <w:jc w:val="both"/>
        <w:rPr>
          <w:color w:val="auto"/>
          <w:szCs w:val="22"/>
          <w:lang w:val="en-GB"/>
        </w:rPr>
      </w:pPr>
      <w:r w:rsidRPr="00CB110D">
        <w:rPr>
          <w:color w:val="auto"/>
          <w:szCs w:val="22"/>
          <w:lang w:val="en-GB"/>
        </w:rPr>
        <w:t>Interested individual consultant/expert is expected to submit the following materials in English in response to this ToR:</w:t>
      </w:r>
    </w:p>
    <w:p w14:paraId="1B4BD49D" w14:textId="4CC259A6" w:rsidR="00B36803" w:rsidRPr="00CB110D" w:rsidRDefault="00675300" w:rsidP="00B36803">
      <w:pPr>
        <w:pStyle w:val="NoSpacing"/>
        <w:numPr>
          <w:ilvl w:val="0"/>
          <w:numId w:val="27"/>
        </w:numPr>
        <w:jc w:val="both"/>
        <w:rPr>
          <w:color w:val="auto"/>
          <w:szCs w:val="22"/>
          <w:lang w:val="en"/>
        </w:rPr>
      </w:pPr>
      <w:r w:rsidRPr="00CB110D">
        <w:rPr>
          <w:color w:val="auto"/>
          <w:szCs w:val="22"/>
          <w:lang w:val="en"/>
        </w:rPr>
        <w:t>Detailed Curriculum Vitae</w:t>
      </w:r>
      <w:r w:rsidR="00B36803" w:rsidRPr="00CB110D">
        <w:rPr>
          <w:color w:val="auto"/>
          <w:szCs w:val="22"/>
          <w:lang w:val="en"/>
        </w:rPr>
        <w:t xml:space="preserve"> indicating at least two references with the contact information;</w:t>
      </w:r>
    </w:p>
    <w:p w14:paraId="44EC6F7C" w14:textId="653C8F21" w:rsidR="00B36803" w:rsidRPr="00CB110D" w:rsidRDefault="00B36803" w:rsidP="00B36803">
      <w:pPr>
        <w:pStyle w:val="NoSpacing"/>
        <w:numPr>
          <w:ilvl w:val="0"/>
          <w:numId w:val="27"/>
        </w:numPr>
        <w:jc w:val="both"/>
        <w:rPr>
          <w:color w:val="auto"/>
          <w:szCs w:val="22"/>
          <w:lang w:val="en"/>
        </w:rPr>
      </w:pPr>
      <w:r w:rsidRPr="00CB110D">
        <w:rPr>
          <w:color w:val="auto"/>
          <w:szCs w:val="22"/>
          <w:lang w:val="en"/>
        </w:rPr>
        <w:t>Technical Proposal/methodology including the detailed timetable for suggested activities</w:t>
      </w:r>
      <w:r w:rsidR="00CC6DF9">
        <w:rPr>
          <w:color w:val="auto"/>
          <w:szCs w:val="22"/>
          <w:lang w:val="en"/>
        </w:rPr>
        <w:t>;</w:t>
      </w:r>
    </w:p>
    <w:p w14:paraId="45DC59BB" w14:textId="679A0E9E" w:rsidR="00867382" w:rsidRPr="00CB110D" w:rsidRDefault="00867382" w:rsidP="00B36803">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Filled and signed Request for Quotation Form</w:t>
      </w:r>
      <w:r w:rsidR="00E7646F" w:rsidRPr="00CB110D">
        <w:rPr>
          <w:rFonts w:ascii="Calibri" w:eastAsia="ヒラギノ角ゴ Pro W3" w:hAnsi="Calibri" w:cs="Times New Roman"/>
          <w:lang w:val="en-GB" w:eastAsia="ru-RU"/>
        </w:rPr>
        <w:t xml:space="preserve"> (please see</w:t>
      </w:r>
      <w:r w:rsidRPr="00CB110D">
        <w:rPr>
          <w:rFonts w:ascii="Calibri" w:eastAsia="ヒラギノ角ゴ Pro W3" w:hAnsi="Calibri" w:cs="Times New Roman"/>
          <w:lang w:val="en-GB" w:eastAsia="ru-RU"/>
        </w:rPr>
        <w:t xml:space="preserve"> attached)</w:t>
      </w:r>
    </w:p>
    <w:p w14:paraId="60F2887F" w14:textId="4DEB6473" w:rsidR="00E7646F"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lastRenderedPageBreak/>
        <w:t>Completed and signed DRC supplier profile registration form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7A279256" w14:textId="5BA9945A" w:rsidR="00867382"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Signed Code of conduct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5B25F96F" w14:textId="77777777" w:rsidR="00867382" w:rsidRPr="00CB110D" w:rsidRDefault="00867382" w:rsidP="00506279">
      <w:pPr>
        <w:pStyle w:val="ListParagraph"/>
        <w:spacing w:after="0" w:line="240" w:lineRule="auto"/>
        <w:ind w:left="1080"/>
        <w:jc w:val="both"/>
        <w:rPr>
          <w:rFonts w:ascii="Calibri" w:eastAsia="ヒラギノ角ゴ Pro W3" w:hAnsi="Calibri" w:cs="Times New Roman"/>
          <w:lang w:val="en-GB" w:eastAsia="ru-RU"/>
        </w:rPr>
      </w:pPr>
    </w:p>
    <w:p w14:paraId="2BFF1581" w14:textId="09825420" w:rsidR="00566A95" w:rsidRPr="00A26725" w:rsidRDefault="00867382" w:rsidP="00A26725">
      <w:pPr>
        <w:jc w:val="both"/>
        <w:rPr>
          <w:rFonts w:ascii="Segoe UI" w:eastAsia="Times New Roman" w:hAnsi="Segoe UI" w:cs="Segoe UI"/>
          <w:sz w:val="36"/>
          <w:szCs w:val="36"/>
        </w:rPr>
      </w:pPr>
      <w:r w:rsidRPr="00CB110D">
        <w:rPr>
          <w:b/>
          <w:bCs/>
          <w:u w:val="single"/>
          <w:lang w:val="en-GB"/>
        </w:rPr>
        <w:t>Deadline:</w:t>
      </w:r>
      <w:r w:rsidRPr="00CB110D">
        <w:rPr>
          <w:lang w:val="en-GB"/>
        </w:rPr>
        <w:t xml:space="preserve"> The </w:t>
      </w:r>
      <w:r w:rsidR="00A66FF1" w:rsidRPr="00CB110D">
        <w:rPr>
          <w:lang w:val="en-GB"/>
        </w:rPr>
        <w:t>interested applicants should submit the application</w:t>
      </w:r>
      <w:r w:rsidRPr="00CB110D">
        <w:rPr>
          <w:lang w:val="en-GB"/>
        </w:rPr>
        <w:t xml:space="preserve"> to the following email address:</w:t>
      </w:r>
      <w:r w:rsidR="00264CF1">
        <w:rPr>
          <w:lang w:val="en-GB"/>
        </w:rPr>
        <w:t xml:space="preserve"> </w:t>
      </w:r>
      <w:r w:rsidR="00264CF1" w:rsidRPr="00264CF1">
        <w:rPr>
          <w:lang w:val="en-GB"/>
        </w:rPr>
        <w:t>rfq.geo.tbs@drc.ngo</w:t>
      </w:r>
      <w:r w:rsidRPr="00CB110D">
        <w:rPr>
          <w:lang w:val="en-GB"/>
        </w:rPr>
        <w:t xml:space="preserve">  </w:t>
      </w:r>
      <w:r w:rsidRPr="00E63032">
        <w:rPr>
          <w:lang w:val="en-GB"/>
        </w:rPr>
        <w:t xml:space="preserve">by </w:t>
      </w:r>
      <w:r w:rsidR="00484201" w:rsidRPr="00E63032">
        <w:rPr>
          <w:lang w:val="en-GB"/>
        </w:rPr>
        <w:t>24</w:t>
      </w:r>
      <w:r w:rsidR="00456185" w:rsidRPr="00E63032">
        <w:rPr>
          <w:lang w:val="en-GB"/>
        </w:rPr>
        <w:t>:00</w:t>
      </w:r>
      <w:r w:rsidR="007676BB" w:rsidRPr="00E63032">
        <w:rPr>
          <w:lang w:val="en-GB"/>
        </w:rPr>
        <w:t xml:space="preserve"> PM</w:t>
      </w:r>
      <w:r w:rsidRPr="00E63032">
        <w:rPr>
          <w:lang w:val="en-GB"/>
        </w:rPr>
        <w:t xml:space="preserve"> </w:t>
      </w:r>
      <w:r w:rsidR="00456185" w:rsidRPr="00E63032">
        <w:rPr>
          <w:lang w:val="en-GB"/>
        </w:rPr>
        <w:t xml:space="preserve">local </w:t>
      </w:r>
      <w:r w:rsidR="00456185" w:rsidRPr="00A26725">
        <w:rPr>
          <w:lang w:val="en-GB"/>
        </w:rPr>
        <w:t>time</w:t>
      </w:r>
      <w:r w:rsidR="000A68B2" w:rsidRPr="00A26725">
        <w:rPr>
          <w:lang w:val="en-GB"/>
        </w:rPr>
        <w:t xml:space="preserve">, </w:t>
      </w:r>
      <w:r w:rsidR="005A1332" w:rsidRPr="00A26725">
        <w:rPr>
          <w:lang w:val="en-GB"/>
        </w:rPr>
        <w:t>July 2</w:t>
      </w:r>
      <w:r w:rsidR="00FD035A">
        <w:rPr>
          <w:lang w:val="en-GB"/>
        </w:rPr>
        <w:t>5</w:t>
      </w:r>
      <w:r w:rsidR="005A1332" w:rsidRPr="00A26725">
        <w:rPr>
          <w:lang w:val="en-GB"/>
        </w:rPr>
        <w:t>,</w:t>
      </w:r>
      <w:r w:rsidR="00E63032" w:rsidRPr="00A26725">
        <w:rPr>
          <w:lang w:val="en-GB"/>
        </w:rPr>
        <w:t xml:space="preserve"> </w:t>
      </w:r>
      <w:r w:rsidRPr="00A26725">
        <w:rPr>
          <w:lang w:val="en-GB"/>
        </w:rPr>
        <w:t>2021.</w:t>
      </w:r>
      <w:r w:rsidRPr="00264CF1">
        <w:rPr>
          <w:lang w:val="en-GB"/>
        </w:rPr>
        <w:t xml:space="preserve"> Please indicate the following assignment title in the subject line of the email</w:t>
      </w:r>
      <w:r w:rsidR="00E63032" w:rsidRPr="00264CF1">
        <w:rPr>
          <w:lang w:val="en-GB"/>
        </w:rPr>
        <w:t>: “</w:t>
      </w:r>
      <w:r w:rsidR="00A26725" w:rsidRPr="00A26725">
        <w:rPr>
          <w:i/>
          <w:iCs/>
          <w:lang w:val="en-GB"/>
        </w:rPr>
        <w:t>PR_00158996</w:t>
      </w:r>
      <w:r w:rsidR="008A47DB" w:rsidRPr="00C21F63">
        <w:rPr>
          <w:i/>
          <w:iCs/>
          <w:lang w:val="en-GB"/>
        </w:rPr>
        <w:t xml:space="preserve">- Consultancy on </w:t>
      </w:r>
      <w:r w:rsidR="005A1332">
        <w:rPr>
          <w:i/>
          <w:iCs/>
          <w:lang w:val="en-GB"/>
        </w:rPr>
        <w:t xml:space="preserve">critical analysis for enabling factors towards social inclusion of </w:t>
      </w:r>
      <w:r w:rsidR="009A1E4A">
        <w:rPr>
          <w:i/>
          <w:iCs/>
          <w:lang w:val="en-GB"/>
        </w:rPr>
        <w:t>youth in Georgia as a foundational element of entrepreneurship</w:t>
      </w:r>
      <w:r w:rsidR="00E31D63" w:rsidRPr="00C21F63">
        <w:rPr>
          <w:i/>
          <w:iCs/>
          <w:lang w:val="en-GB"/>
        </w:rPr>
        <w:t>”</w:t>
      </w:r>
      <w:r w:rsidR="00566A95" w:rsidRPr="00C21F63">
        <w:rPr>
          <w:i/>
          <w:iCs/>
          <w:lang w:val="en-GB"/>
        </w:rPr>
        <w:t>.</w:t>
      </w:r>
    </w:p>
    <w:p w14:paraId="37C95B4B" w14:textId="77777777" w:rsidR="00C21F63" w:rsidRPr="00C21F63" w:rsidRDefault="00C21F63" w:rsidP="00C21F63">
      <w:pPr>
        <w:pStyle w:val="NoSpacing"/>
        <w:jc w:val="both"/>
        <w:rPr>
          <w:rFonts w:cs="Arial"/>
          <w:b/>
          <w:color w:val="auto"/>
          <w:sz w:val="24"/>
          <w:szCs w:val="24"/>
          <w:lang w:val="en-GB"/>
        </w:rPr>
      </w:pPr>
    </w:p>
    <w:p w14:paraId="34FC33C2" w14:textId="73E8C356" w:rsidR="00867382" w:rsidRPr="00CB110D" w:rsidRDefault="00867382" w:rsidP="00506279">
      <w:pPr>
        <w:pStyle w:val="NoSpacing"/>
        <w:jc w:val="both"/>
        <w:rPr>
          <w:color w:val="auto"/>
          <w:szCs w:val="22"/>
          <w:lang w:val="en-GB"/>
        </w:rPr>
      </w:pPr>
      <w:r w:rsidRPr="00CB110D">
        <w:rPr>
          <w:color w:val="auto"/>
          <w:szCs w:val="22"/>
          <w:lang w:val="en-GB"/>
        </w:rPr>
        <w:t xml:space="preserve">Applications submitted after the deadline will not be considered for selection. </w:t>
      </w:r>
    </w:p>
    <w:p w14:paraId="01433E6E" w14:textId="77777777" w:rsidR="005A1332" w:rsidRPr="00CB110D" w:rsidRDefault="005A1332" w:rsidP="00506279">
      <w:pPr>
        <w:tabs>
          <w:tab w:val="left" w:pos="720"/>
          <w:tab w:val="left" w:pos="900"/>
        </w:tabs>
        <w:jc w:val="both"/>
        <w:rPr>
          <w:rFonts w:ascii="Calibri" w:eastAsia="Times New Roman" w:hAnsi="Calibri" w:cs="Calibri"/>
          <w:bCs/>
          <w:lang w:val="en-GB"/>
        </w:rPr>
      </w:pPr>
    </w:p>
    <w:p w14:paraId="4D0C33FF" w14:textId="32250B18" w:rsidR="00867382"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Proposal Evaluation and Selection</w:t>
      </w:r>
    </w:p>
    <w:p w14:paraId="522770A8" w14:textId="77777777" w:rsidR="00CB110D" w:rsidRPr="00CB110D" w:rsidRDefault="00CB110D" w:rsidP="00CB110D">
      <w:pPr>
        <w:pStyle w:val="NoSpacing"/>
        <w:ind w:left="360"/>
        <w:jc w:val="both"/>
        <w:rPr>
          <w:rFonts w:cs="Arial"/>
          <w:b/>
          <w:bCs/>
          <w:color w:val="auto"/>
          <w:sz w:val="24"/>
          <w:szCs w:val="24"/>
          <w:u w:val="single"/>
        </w:rPr>
      </w:pPr>
    </w:p>
    <w:p w14:paraId="61C1A734" w14:textId="3D9B9299" w:rsidR="00867382" w:rsidRPr="00CB110D" w:rsidRDefault="00867382" w:rsidP="00CB110D">
      <w:pPr>
        <w:pStyle w:val="NoSpacing"/>
        <w:jc w:val="both"/>
        <w:rPr>
          <w:color w:val="auto"/>
          <w:szCs w:val="22"/>
          <w:lang w:val="en-GB"/>
        </w:rPr>
      </w:pPr>
      <w:r w:rsidRPr="00CB110D">
        <w:rPr>
          <w:color w:val="auto"/>
          <w:szCs w:val="22"/>
          <w:lang w:val="en-GB"/>
        </w:rPr>
        <w:t>The evaluation is made on a technical and financial basis.</w:t>
      </w:r>
      <w:r w:rsidR="009D35A4" w:rsidRPr="00CB110D">
        <w:rPr>
          <w:color w:val="auto"/>
          <w:szCs w:val="22"/>
          <w:lang w:val="en-GB"/>
        </w:rPr>
        <w:t xml:space="preserve"> </w:t>
      </w:r>
      <w:r w:rsidRPr="00CB110D">
        <w:rPr>
          <w:color w:val="auto"/>
          <w:szCs w:val="22"/>
          <w:lang w:val="en-GB"/>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CB110D" w:rsidRDefault="00867382" w:rsidP="00506279">
      <w:pPr>
        <w:jc w:val="both"/>
        <w:rPr>
          <w:rFonts w:cstheme="minorHAnsi"/>
        </w:rPr>
      </w:pPr>
    </w:p>
    <w:tbl>
      <w:tblPr>
        <w:tblStyle w:val="TableGrid"/>
        <w:tblW w:w="0" w:type="auto"/>
        <w:tblLook w:val="04A0" w:firstRow="1" w:lastRow="0" w:firstColumn="1" w:lastColumn="0" w:noHBand="0" w:noVBand="1"/>
      </w:tblPr>
      <w:tblGrid>
        <w:gridCol w:w="4248"/>
        <w:gridCol w:w="5102"/>
      </w:tblGrid>
      <w:tr w:rsidR="00CB110D" w:rsidRPr="00CB110D" w14:paraId="0426F4C6" w14:textId="77777777" w:rsidTr="009D2FDF">
        <w:tc>
          <w:tcPr>
            <w:tcW w:w="4248" w:type="dxa"/>
            <w:vMerge w:val="restart"/>
          </w:tcPr>
          <w:p w14:paraId="67935003" w14:textId="77777777" w:rsidR="006A393D" w:rsidRPr="00CB110D" w:rsidRDefault="006A393D"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Relevant Qualifications (60%)</w:t>
            </w:r>
          </w:p>
          <w:p w14:paraId="7B99016B"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37D86852" w14:textId="29D10C56" w:rsidR="00B36803" w:rsidRPr="00CB110D" w:rsidRDefault="00B36803" w:rsidP="00197D3F">
            <w:pPr>
              <w:pStyle w:val="ListParagraph"/>
              <w:numPr>
                <w:ilvl w:val="0"/>
                <w:numId w:val="18"/>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Documented experience working in requested sector (</w:t>
            </w:r>
            <w:r w:rsidR="005A1332">
              <w:rPr>
                <w:rFonts w:ascii="Calibri" w:eastAsia="ヒラギノ角ゴ Pro W3" w:hAnsi="Calibri" w:cs="Times New Roman"/>
                <w:lang w:val="en-GB" w:eastAsia="ru-RU"/>
              </w:rPr>
              <w:t>economy, social protection</w:t>
            </w:r>
            <w:r w:rsidRPr="00CB110D">
              <w:rPr>
                <w:rFonts w:ascii="Calibri" w:eastAsia="ヒラギノ角ゴ Pro W3" w:hAnsi="Calibri" w:cs="Times New Roman"/>
                <w:lang w:val="en-GB" w:eastAsia="ru-RU"/>
              </w:rPr>
              <w:t>) (</w:t>
            </w:r>
            <w:r w:rsidR="00CB0075" w:rsidRPr="00CB110D">
              <w:rPr>
                <w:rFonts w:ascii="Calibri" w:eastAsia="ヒラギノ角ゴ Pro W3" w:hAnsi="Calibri" w:cs="Times New Roman"/>
                <w:lang w:val="en-GB" w:eastAsia="ru-RU"/>
              </w:rPr>
              <w:t>2</w:t>
            </w:r>
            <w:r w:rsidRPr="00CB110D">
              <w:rPr>
                <w:rFonts w:ascii="Calibri" w:eastAsia="ヒラギノ角ゴ Pro W3" w:hAnsi="Calibri" w:cs="Times New Roman"/>
                <w:lang w:val="en-GB" w:eastAsia="ru-RU"/>
              </w:rPr>
              <w:t>0%)</w:t>
            </w:r>
          </w:p>
        </w:tc>
      </w:tr>
      <w:tr w:rsidR="00CB110D" w:rsidRPr="00CB110D" w14:paraId="75873339" w14:textId="77777777" w:rsidTr="009D2FDF">
        <w:tc>
          <w:tcPr>
            <w:tcW w:w="4248" w:type="dxa"/>
            <w:vMerge/>
          </w:tcPr>
          <w:p w14:paraId="17F40850" w14:textId="77777777" w:rsidR="006A393D" w:rsidRPr="00CB110D" w:rsidRDefault="006A393D" w:rsidP="00506279">
            <w:pPr>
              <w:pStyle w:val="Default"/>
              <w:jc w:val="both"/>
              <w:rPr>
                <w:rFonts w:asciiTheme="minorHAnsi" w:hAnsiTheme="minorHAnsi" w:cstheme="minorHAnsi"/>
                <w:color w:val="auto"/>
                <w:sz w:val="22"/>
                <w:szCs w:val="22"/>
              </w:rPr>
            </w:pPr>
          </w:p>
        </w:tc>
        <w:tc>
          <w:tcPr>
            <w:tcW w:w="5102" w:type="dxa"/>
          </w:tcPr>
          <w:p w14:paraId="0DBBB7CF" w14:textId="56149F86" w:rsidR="006A393D" w:rsidRPr="00CB110D" w:rsidRDefault="006A393D" w:rsidP="00197D3F">
            <w:pPr>
              <w:pStyle w:val="Default"/>
              <w:widowControl w:val="0"/>
              <w:numPr>
                <w:ilvl w:val="0"/>
                <w:numId w:val="19"/>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Demonstrated experience </w:t>
            </w:r>
            <w:r w:rsidR="005A1332">
              <w:rPr>
                <w:rFonts w:ascii="Calibri" w:eastAsia="ヒラギノ角ゴ Pro W3" w:hAnsi="Calibri"/>
                <w:color w:val="auto"/>
                <w:sz w:val="22"/>
                <w:szCs w:val="22"/>
                <w:lang w:val="en-GB" w:eastAsia="ru-RU"/>
              </w:rPr>
              <w:t>on analytical review and surveys (40%)</w:t>
            </w:r>
          </w:p>
        </w:tc>
      </w:tr>
      <w:tr w:rsidR="00CB110D" w:rsidRPr="00CB110D" w14:paraId="20C3943D" w14:textId="77777777" w:rsidTr="009D2FDF">
        <w:tc>
          <w:tcPr>
            <w:tcW w:w="4248" w:type="dxa"/>
            <w:vMerge/>
          </w:tcPr>
          <w:p w14:paraId="750CB383"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034FA041" w14:textId="3A44724E" w:rsidR="006A393D" w:rsidRPr="00CB110D" w:rsidDel="00456185" w:rsidRDefault="00CB0075" w:rsidP="00197D3F">
            <w:pPr>
              <w:pStyle w:val="NoSpacing"/>
              <w:numPr>
                <w:ilvl w:val="0"/>
                <w:numId w:val="2"/>
              </w:numPr>
              <w:jc w:val="both"/>
              <w:rPr>
                <w:color w:val="auto"/>
                <w:szCs w:val="22"/>
                <w:lang w:val="en-GB"/>
              </w:rPr>
            </w:pPr>
            <w:r w:rsidRPr="00CB110D">
              <w:rPr>
                <w:color w:val="auto"/>
                <w:szCs w:val="22"/>
                <w:lang w:val="en-GB"/>
              </w:rPr>
              <w:t xml:space="preserve">Demonstrated experience in conducting research and report writing </w:t>
            </w:r>
            <w:r w:rsidR="00F64031" w:rsidRPr="00CB110D">
              <w:rPr>
                <w:color w:val="auto"/>
                <w:szCs w:val="22"/>
                <w:lang w:val="en-GB"/>
              </w:rPr>
              <w:t>(</w:t>
            </w:r>
            <w:r w:rsidR="00DC64FF" w:rsidRPr="00CB110D">
              <w:rPr>
                <w:color w:val="auto"/>
                <w:szCs w:val="22"/>
                <w:lang w:val="en-GB"/>
              </w:rPr>
              <w:t>2</w:t>
            </w:r>
            <w:r w:rsidR="006A393D" w:rsidRPr="00CB110D">
              <w:rPr>
                <w:color w:val="auto"/>
                <w:szCs w:val="22"/>
                <w:lang w:val="en-GB"/>
              </w:rPr>
              <w:t>0%)</w:t>
            </w:r>
          </w:p>
        </w:tc>
      </w:tr>
      <w:tr w:rsidR="00CB110D" w:rsidRPr="00CB110D" w14:paraId="55DB0DB9" w14:textId="77777777" w:rsidTr="009D2FDF">
        <w:tc>
          <w:tcPr>
            <w:tcW w:w="4248" w:type="dxa"/>
          </w:tcPr>
          <w:p w14:paraId="5EC5064B" w14:textId="3AF87E61"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Proposed services (</w:t>
            </w:r>
            <w:r w:rsidR="00484201" w:rsidRPr="00CB110D">
              <w:rPr>
                <w:rFonts w:asciiTheme="minorHAnsi" w:hAnsiTheme="minorHAnsi" w:cstheme="minorHAnsi"/>
                <w:b/>
                <w:color w:val="auto"/>
                <w:sz w:val="22"/>
                <w:szCs w:val="22"/>
              </w:rPr>
              <w:t>4</w:t>
            </w:r>
            <w:r w:rsidRPr="00CB110D">
              <w:rPr>
                <w:rFonts w:asciiTheme="minorHAnsi" w:hAnsiTheme="minorHAnsi" w:cstheme="minorHAnsi"/>
                <w:b/>
                <w:color w:val="auto"/>
                <w:sz w:val="22"/>
                <w:szCs w:val="22"/>
              </w:rPr>
              <w:t>0%)</w:t>
            </w:r>
          </w:p>
        </w:tc>
        <w:tc>
          <w:tcPr>
            <w:tcW w:w="5102" w:type="dxa"/>
          </w:tcPr>
          <w:p w14:paraId="61FD84C3" w14:textId="56BB3B62" w:rsidR="00867382" w:rsidRPr="00CB110D" w:rsidRDefault="00DE5E54" w:rsidP="00197D3F">
            <w:pPr>
              <w:pStyle w:val="Default"/>
              <w:widowControl w:val="0"/>
              <w:numPr>
                <w:ilvl w:val="0"/>
                <w:numId w:val="20"/>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The proposed </w:t>
            </w:r>
            <w:r w:rsidR="00484201" w:rsidRPr="00CB110D">
              <w:rPr>
                <w:rFonts w:ascii="Calibri" w:eastAsia="ヒラギノ角ゴ Pro W3" w:hAnsi="Calibri"/>
                <w:color w:val="auto"/>
                <w:sz w:val="22"/>
                <w:szCs w:val="22"/>
                <w:lang w:val="en-GB" w:eastAsia="ru-RU"/>
              </w:rPr>
              <w:t>methodology</w:t>
            </w:r>
            <w:r w:rsidRPr="00CB110D">
              <w:rPr>
                <w:rFonts w:ascii="Calibri" w:eastAsia="ヒラギノ角ゴ Pro W3" w:hAnsi="Calibri"/>
                <w:color w:val="auto"/>
                <w:sz w:val="22"/>
                <w:szCs w:val="22"/>
                <w:lang w:val="en-GB" w:eastAsia="ru-RU"/>
              </w:rPr>
              <w:t xml:space="preserve"> is relevant to the DRC requirement</w:t>
            </w:r>
            <w:r w:rsidR="00484201" w:rsidRPr="00CB110D">
              <w:rPr>
                <w:rFonts w:ascii="Calibri" w:eastAsia="ヒラギノ角ゴ Pro W3" w:hAnsi="Calibri"/>
                <w:color w:val="auto"/>
                <w:sz w:val="22"/>
                <w:szCs w:val="22"/>
                <w:lang w:val="en-GB" w:eastAsia="ru-RU"/>
              </w:rPr>
              <w:t xml:space="preserve"> </w:t>
            </w:r>
            <w:r w:rsidR="005A1332">
              <w:rPr>
                <w:rFonts w:ascii="Calibri" w:eastAsia="ヒラギノ角ゴ Pro W3" w:hAnsi="Calibri"/>
                <w:color w:val="auto"/>
                <w:sz w:val="22"/>
                <w:szCs w:val="22"/>
                <w:lang w:val="en-GB" w:eastAsia="ru-RU"/>
              </w:rPr>
              <w:t>(2</w:t>
            </w:r>
            <w:r w:rsidR="00484201" w:rsidRPr="00CB110D">
              <w:rPr>
                <w:rFonts w:ascii="Calibri" w:eastAsia="ヒラギノ角ゴ Pro W3" w:hAnsi="Calibri"/>
                <w:color w:val="auto"/>
                <w:sz w:val="22"/>
                <w:szCs w:val="22"/>
                <w:lang w:val="en-GB" w:eastAsia="ru-RU"/>
              </w:rPr>
              <w:t>0%)</w:t>
            </w:r>
          </w:p>
        </w:tc>
      </w:tr>
      <w:tr w:rsidR="00867382" w:rsidRPr="00CB110D" w14:paraId="001BC010" w14:textId="77777777" w:rsidTr="009D2FDF">
        <w:tc>
          <w:tcPr>
            <w:tcW w:w="4248" w:type="dxa"/>
          </w:tcPr>
          <w:p w14:paraId="4FAA46BA"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Total</w:t>
            </w:r>
          </w:p>
        </w:tc>
        <w:tc>
          <w:tcPr>
            <w:tcW w:w="5102" w:type="dxa"/>
          </w:tcPr>
          <w:p w14:paraId="52682336"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100%</w:t>
            </w:r>
          </w:p>
        </w:tc>
      </w:tr>
    </w:tbl>
    <w:p w14:paraId="43A3D970" w14:textId="77777777" w:rsidR="00867382" w:rsidRPr="00CB110D" w:rsidRDefault="00867382" w:rsidP="00506279">
      <w:pPr>
        <w:jc w:val="both"/>
        <w:rPr>
          <w:rFonts w:cstheme="minorHAnsi"/>
        </w:rPr>
      </w:pPr>
    </w:p>
    <w:p w14:paraId="7FD97D4B"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All bidders must obtain </w:t>
      </w:r>
      <w:r w:rsidRPr="00CB110D">
        <w:rPr>
          <w:rFonts w:ascii="Calibri" w:eastAsia="ヒラギノ角ゴ Pro W3" w:hAnsi="Calibri"/>
          <w:b/>
          <w:bCs/>
          <w:color w:val="auto"/>
          <w:sz w:val="22"/>
          <w:szCs w:val="22"/>
          <w:lang w:val="en-GB" w:eastAsia="ru-RU"/>
        </w:rPr>
        <w:t>an average score of at least five</w:t>
      </w:r>
      <w:r w:rsidRPr="00CB110D">
        <w:rPr>
          <w:rFonts w:ascii="Calibri" w:eastAsia="ヒラギノ角ゴ Pro W3" w:hAnsi="Calibri"/>
          <w:color w:val="auto"/>
          <w:sz w:val="22"/>
          <w:szCs w:val="22"/>
          <w:lang w:val="en-GB" w:eastAsia="ru-RU"/>
        </w:rPr>
        <w:t xml:space="preserve"> for the total technical scoring in order to proceed to the financial evaluation. The financial offer will then be weighed against the technical offer.</w:t>
      </w:r>
    </w:p>
    <w:p w14:paraId="55A8AC24"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p>
    <w:p w14:paraId="06544BA5" w14:textId="77777777" w:rsidR="0004066B" w:rsidRPr="00CB110D" w:rsidRDefault="0004066B" w:rsidP="0004066B">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b/>
          <w:bCs/>
          <w:color w:val="auto"/>
          <w:sz w:val="22"/>
          <w:szCs w:val="22"/>
          <w:lang w:val="en-GB" w:eastAsia="ru-RU"/>
        </w:rPr>
        <w:t>Nota Bene:</w:t>
      </w:r>
      <w:r w:rsidRPr="00CB110D">
        <w:rPr>
          <w:rFonts w:ascii="Calibri" w:eastAsia="ヒラギノ角ゴ Pro W3" w:hAnsi="Calibri"/>
          <w:color w:val="auto"/>
          <w:sz w:val="22"/>
          <w:szCs w:val="22"/>
          <w:lang w:val="en-GB" w:eastAsia="ru-RU"/>
        </w:rPr>
        <w:t xml:space="preserve"> The total cost of the financial offer should be mentioned in the DRC Bid Form (RFQ).  The total price offered should be a lump sum price, including all costs relevant for the assignment.</w:t>
      </w:r>
    </w:p>
    <w:p w14:paraId="6AE6B375" w14:textId="77777777" w:rsidR="0004066B" w:rsidRPr="00CB110D" w:rsidRDefault="0004066B" w:rsidP="0004066B">
      <w:pPr>
        <w:pStyle w:val="NoSpacing"/>
        <w:ind w:left="720"/>
        <w:jc w:val="both"/>
        <w:rPr>
          <w:color w:val="auto"/>
          <w:szCs w:val="22"/>
          <w:lang w:val="en-GB"/>
        </w:rPr>
      </w:pPr>
    </w:p>
    <w:p w14:paraId="11595325" w14:textId="77777777" w:rsidR="00B75415" w:rsidRPr="00CB110D" w:rsidRDefault="00B75415" w:rsidP="00506279">
      <w:pPr>
        <w:spacing w:after="0" w:line="293" w:lineRule="atLeast"/>
        <w:jc w:val="both"/>
        <w:textAlignment w:val="baseline"/>
        <w:rPr>
          <w:rFonts w:ascii="Calibri" w:eastAsia="ヒラギノ角ゴ Pro W3" w:hAnsi="Calibri" w:cs="Times New Roman"/>
          <w:lang w:val="en-GB" w:eastAsia="ru-RU"/>
        </w:rPr>
      </w:pPr>
    </w:p>
    <w:sectPr w:rsidR="00B75415" w:rsidRPr="00CB110D" w:rsidSect="00B118C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993A" w14:textId="77777777" w:rsidR="00127F91" w:rsidRDefault="00127F91" w:rsidP="00764A69">
      <w:pPr>
        <w:spacing w:after="0" w:line="240" w:lineRule="auto"/>
      </w:pPr>
      <w:r>
        <w:separator/>
      </w:r>
    </w:p>
  </w:endnote>
  <w:endnote w:type="continuationSeparator" w:id="0">
    <w:p w14:paraId="4B6FA726" w14:textId="77777777" w:rsidR="00127F91" w:rsidRDefault="00127F91"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AED6" w14:textId="77777777" w:rsidR="00127F91" w:rsidRDefault="00127F91" w:rsidP="00764A69">
      <w:pPr>
        <w:spacing w:after="0" w:line="240" w:lineRule="auto"/>
      </w:pPr>
      <w:r>
        <w:separator/>
      </w:r>
    </w:p>
  </w:footnote>
  <w:footnote w:type="continuationSeparator" w:id="0">
    <w:p w14:paraId="678242DF" w14:textId="77777777" w:rsidR="00127F91" w:rsidRDefault="00127F91"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0BF"/>
    <w:multiLevelType w:val="hybridMultilevel"/>
    <w:tmpl w:val="DBE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948"/>
    <w:multiLevelType w:val="hybridMultilevel"/>
    <w:tmpl w:val="200CB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94F"/>
    <w:multiLevelType w:val="hybridMultilevel"/>
    <w:tmpl w:val="E7DC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2CF85EDF"/>
    <w:multiLevelType w:val="hybridMultilevel"/>
    <w:tmpl w:val="C206EE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CB9"/>
    <w:multiLevelType w:val="multilevel"/>
    <w:tmpl w:val="48B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F653D"/>
    <w:multiLevelType w:val="multilevel"/>
    <w:tmpl w:val="5010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234CF"/>
    <w:multiLevelType w:val="hybridMultilevel"/>
    <w:tmpl w:val="418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6234B"/>
    <w:multiLevelType w:val="hybridMultilevel"/>
    <w:tmpl w:val="35D8EF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04D5E"/>
    <w:multiLevelType w:val="hybridMultilevel"/>
    <w:tmpl w:val="CA52574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9C01EF"/>
    <w:multiLevelType w:val="multilevel"/>
    <w:tmpl w:val="A67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708AA"/>
    <w:multiLevelType w:val="hybridMultilevel"/>
    <w:tmpl w:val="154E8EEE"/>
    <w:lvl w:ilvl="0" w:tplc="F796BA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5FA"/>
    <w:multiLevelType w:val="hybridMultilevel"/>
    <w:tmpl w:val="9DE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50D"/>
    <w:multiLevelType w:val="hybridMultilevel"/>
    <w:tmpl w:val="840C3622"/>
    <w:lvl w:ilvl="0" w:tplc="0405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CF78DC"/>
    <w:multiLevelType w:val="hybridMultilevel"/>
    <w:tmpl w:val="D60E8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F586F"/>
    <w:multiLevelType w:val="hybridMultilevel"/>
    <w:tmpl w:val="F254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4"/>
  </w:num>
  <w:num w:numId="5">
    <w:abstractNumId w:val="10"/>
  </w:num>
  <w:num w:numId="6">
    <w:abstractNumId w:val="23"/>
  </w:num>
  <w:num w:numId="7">
    <w:abstractNumId w:val="8"/>
  </w:num>
  <w:num w:numId="8">
    <w:abstractNumId w:val="20"/>
  </w:num>
  <w:num w:numId="9">
    <w:abstractNumId w:val="2"/>
  </w:num>
  <w:num w:numId="10">
    <w:abstractNumId w:val="25"/>
  </w:num>
  <w:num w:numId="11">
    <w:abstractNumId w:val="7"/>
  </w:num>
  <w:num w:numId="12">
    <w:abstractNumId w:val="22"/>
  </w:num>
  <w:num w:numId="13">
    <w:abstractNumId w:val="26"/>
  </w:num>
  <w:num w:numId="14">
    <w:abstractNumId w:val="16"/>
  </w:num>
  <w:num w:numId="15">
    <w:abstractNumId w:val="12"/>
  </w:num>
  <w:num w:numId="16">
    <w:abstractNumId w:val="11"/>
  </w:num>
  <w:num w:numId="17">
    <w:abstractNumId w:val="24"/>
  </w:num>
  <w:num w:numId="18">
    <w:abstractNumId w:val="0"/>
  </w:num>
  <w:num w:numId="19">
    <w:abstractNumId w:val="6"/>
  </w:num>
  <w:num w:numId="20">
    <w:abstractNumId w:val="14"/>
  </w:num>
  <w:num w:numId="21">
    <w:abstractNumId w:val="3"/>
  </w:num>
  <w:num w:numId="22">
    <w:abstractNumId w:val="21"/>
  </w:num>
  <w:num w:numId="23">
    <w:abstractNumId w:val="19"/>
  </w:num>
  <w:num w:numId="24">
    <w:abstractNumId w:val="1"/>
  </w:num>
  <w:num w:numId="25">
    <w:abstractNumId w:val="5"/>
  </w:num>
  <w:num w:numId="26">
    <w:abstractNumId w:val="13"/>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sqgFAOV9LRo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4066B"/>
    <w:rsid w:val="000507CB"/>
    <w:rsid w:val="00051D60"/>
    <w:rsid w:val="000525F1"/>
    <w:rsid w:val="00060275"/>
    <w:rsid w:val="000617F6"/>
    <w:rsid w:val="00064BE6"/>
    <w:rsid w:val="00065C2E"/>
    <w:rsid w:val="0007082B"/>
    <w:rsid w:val="000708F6"/>
    <w:rsid w:val="00071156"/>
    <w:rsid w:val="00072DF3"/>
    <w:rsid w:val="0008303D"/>
    <w:rsid w:val="00092001"/>
    <w:rsid w:val="00092F9A"/>
    <w:rsid w:val="00095DAA"/>
    <w:rsid w:val="000A06C7"/>
    <w:rsid w:val="000A68B2"/>
    <w:rsid w:val="000C544E"/>
    <w:rsid w:val="000D1D17"/>
    <w:rsid w:val="000D4DAB"/>
    <w:rsid w:val="000E2230"/>
    <w:rsid w:val="000E2CD6"/>
    <w:rsid w:val="000F07CC"/>
    <w:rsid w:val="000F64BE"/>
    <w:rsid w:val="00100639"/>
    <w:rsid w:val="0010157B"/>
    <w:rsid w:val="00107D23"/>
    <w:rsid w:val="00112634"/>
    <w:rsid w:val="00114B83"/>
    <w:rsid w:val="00120568"/>
    <w:rsid w:val="00124C37"/>
    <w:rsid w:val="001254C9"/>
    <w:rsid w:val="00125C1A"/>
    <w:rsid w:val="00127F91"/>
    <w:rsid w:val="001302F2"/>
    <w:rsid w:val="00147455"/>
    <w:rsid w:val="001518AC"/>
    <w:rsid w:val="00152A68"/>
    <w:rsid w:val="001558AA"/>
    <w:rsid w:val="0016023B"/>
    <w:rsid w:val="00162DB9"/>
    <w:rsid w:val="0016620C"/>
    <w:rsid w:val="00171DEA"/>
    <w:rsid w:val="0017558F"/>
    <w:rsid w:val="001764D1"/>
    <w:rsid w:val="00181A49"/>
    <w:rsid w:val="00184F8D"/>
    <w:rsid w:val="00190797"/>
    <w:rsid w:val="001907EC"/>
    <w:rsid w:val="00192A23"/>
    <w:rsid w:val="001936CC"/>
    <w:rsid w:val="0019443A"/>
    <w:rsid w:val="00197D3F"/>
    <w:rsid w:val="001A53AA"/>
    <w:rsid w:val="001A6847"/>
    <w:rsid w:val="001A696D"/>
    <w:rsid w:val="001B5ED2"/>
    <w:rsid w:val="001C21A2"/>
    <w:rsid w:val="001D3358"/>
    <w:rsid w:val="001D6876"/>
    <w:rsid w:val="001E03E2"/>
    <w:rsid w:val="001E1109"/>
    <w:rsid w:val="001F065B"/>
    <w:rsid w:val="001F1156"/>
    <w:rsid w:val="001F3706"/>
    <w:rsid w:val="001F50A3"/>
    <w:rsid w:val="00205FAA"/>
    <w:rsid w:val="0021518E"/>
    <w:rsid w:val="00222ABA"/>
    <w:rsid w:val="00222F8A"/>
    <w:rsid w:val="00225CDB"/>
    <w:rsid w:val="00225F05"/>
    <w:rsid w:val="0022651C"/>
    <w:rsid w:val="0024002A"/>
    <w:rsid w:val="0024115B"/>
    <w:rsid w:val="00242A47"/>
    <w:rsid w:val="00244297"/>
    <w:rsid w:val="002449A6"/>
    <w:rsid w:val="002451CD"/>
    <w:rsid w:val="00246306"/>
    <w:rsid w:val="00251058"/>
    <w:rsid w:val="00255242"/>
    <w:rsid w:val="00256FA7"/>
    <w:rsid w:val="00263119"/>
    <w:rsid w:val="0026474D"/>
    <w:rsid w:val="00264CF1"/>
    <w:rsid w:val="00264F6E"/>
    <w:rsid w:val="00273A97"/>
    <w:rsid w:val="002805BB"/>
    <w:rsid w:val="00280DCC"/>
    <w:rsid w:val="0028187E"/>
    <w:rsid w:val="00281F51"/>
    <w:rsid w:val="002831A4"/>
    <w:rsid w:val="00284F6E"/>
    <w:rsid w:val="00287A8D"/>
    <w:rsid w:val="002A3390"/>
    <w:rsid w:val="002A46D1"/>
    <w:rsid w:val="002A695F"/>
    <w:rsid w:val="002A6DC3"/>
    <w:rsid w:val="002B0192"/>
    <w:rsid w:val="002C2795"/>
    <w:rsid w:val="002D53E1"/>
    <w:rsid w:val="002D769D"/>
    <w:rsid w:val="002E38E8"/>
    <w:rsid w:val="002F1DA0"/>
    <w:rsid w:val="003153C8"/>
    <w:rsid w:val="0031602E"/>
    <w:rsid w:val="0031666A"/>
    <w:rsid w:val="003203C8"/>
    <w:rsid w:val="003211BA"/>
    <w:rsid w:val="0032630A"/>
    <w:rsid w:val="003358B9"/>
    <w:rsid w:val="0034082E"/>
    <w:rsid w:val="00343FE5"/>
    <w:rsid w:val="00350102"/>
    <w:rsid w:val="003522AE"/>
    <w:rsid w:val="003619B3"/>
    <w:rsid w:val="00364563"/>
    <w:rsid w:val="003676DA"/>
    <w:rsid w:val="00371181"/>
    <w:rsid w:val="00377C9D"/>
    <w:rsid w:val="003934DA"/>
    <w:rsid w:val="00395A93"/>
    <w:rsid w:val="003A3FCD"/>
    <w:rsid w:val="003A55BE"/>
    <w:rsid w:val="003A597B"/>
    <w:rsid w:val="003A6461"/>
    <w:rsid w:val="003B0AC8"/>
    <w:rsid w:val="003B52A6"/>
    <w:rsid w:val="003C073A"/>
    <w:rsid w:val="003C52AA"/>
    <w:rsid w:val="003D1F16"/>
    <w:rsid w:val="003D20FE"/>
    <w:rsid w:val="003D49EA"/>
    <w:rsid w:val="003D7B56"/>
    <w:rsid w:val="003E328C"/>
    <w:rsid w:val="003F55B5"/>
    <w:rsid w:val="003F6764"/>
    <w:rsid w:val="00402218"/>
    <w:rsid w:val="00406CE5"/>
    <w:rsid w:val="00411274"/>
    <w:rsid w:val="00414CC9"/>
    <w:rsid w:val="004211C6"/>
    <w:rsid w:val="00423F31"/>
    <w:rsid w:val="00427888"/>
    <w:rsid w:val="00430C65"/>
    <w:rsid w:val="00431ACC"/>
    <w:rsid w:val="00436AB0"/>
    <w:rsid w:val="00442787"/>
    <w:rsid w:val="00442AA8"/>
    <w:rsid w:val="00444CA8"/>
    <w:rsid w:val="00445A33"/>
    <w:rsid w:val="00445EAB"/>
    <w:rsid w:val="00446955"/>
    <w:rsid w:val="00447AFA"/>
    <w:rsid w:val="00452713"/>
    <w:rsid w:val="00456185"/>
    <w:rsid w:val="00462A20"/>
    <w:rsid w:val="00465FB4"/>
    <w:rsid w:val="0047169C"/>
    <w:rsid w:val="00471932"/>
    <w:rsid w:val="004719D5"/>
    <w:rsid w:val="00471DAE"/>
    <w:rsid w:val="00477348"/>
    <w:rsid w:val="00482A4A"/>
    <w:rsid w:val="00483420"/>
    <w:rsid w:val="00484201"/>
    <w:rsid w:val="00487CA1"/>
    <w:rsid w:val="0049084E"/>
    <w:rsid w:val="00492DF0"/>
    <w:rsid w:val="00495565"/>
    <w:rsid w:val="004A4BD4"/>
    <w:rsid w:val="004A4C03"/>
    <w:rsid w:val="004A7A3F"/>
    <w:rsid w:val="004B5183"/>
    <w:rsid w:val="004B73A0"/>
    <w:rsid w:val="004C1722"/>
    <w:rsid w:val="004C6DDE"/>
    <w:rsid w:val="004D1A8F"/>
    <w:rsid w:val="004D2428"/>
    <w:rsid w:val="004D719E"/>
    <w:rsid w:val="004F1F1E"/>
    <w:rsid w:val="004F39A2"/>
    <w:rsid w:val="004F5AA0"/>
    <w:rsid w:val="00500EF9"/>
    <w:rsid w:val="0050104B"/>
    <w:rsid w:val="00506279"/>
    <w:rsid w:val="005079D5"/>
    <w:rsid w:val="00511441"/>
    <w:rsid w:val="005202D0"/>
    <w:rsid w:val="005212EB"/>
    <w:rsid w:val="005238B3"/>
    <w:rsid w:val="00525999"/>
    <w:rsid w:val="00543010"/>
    <w:rsid w:val="00544C32"/>
    <w:rsid w:val="00545E01"/>
    <w:rsid w:val="00550CCF"/>
    <w:rsid w:val="005666AB"/>
    <w:rsid w:val="00566A95"/>
    <w:rsid w:val="005678CB"/>
    <w:rsid w:val="005725E3"/>
    <w:rsid w:val="00575156"/>
    <w:rsid w:val="005763CC"/>
    <w:rsid w:val="00591EF0"/>
    <w:rsid w:val="005959F5"/>
    <w:rsid w:val="005A1332"/>
    <w:rsid w:val="005A235E"/>
    <w:rsid w:val="005A2B15"/>
    <w:rsid w:val="005A4682"/>
    <w:rsid w:val="005C0562"/>
    <w:rsid w:val="005C0A1E"/>
    <w:rsid w:val="005C671C"/>
    <w:rsid w:val="005D1257"/>
    <w:rsid w:val="005D3522"/>
    <w:rsid w:val="005E2E64"/>
    <w:rsid w:val="005F21C1"/>
    <w:rsid w:val="005F2778"/>
    <w:rsid w:val="005F47E2"/>
    <w:rsid w:val="006005EC"/>
    <w:rsid w:val="00620F30"/>
    <w:rsid w:val="00622BD0"/>
    <w:rsid w:val="00625F5C"/>
    <w:rsid w:val="00625FC7"/>
    <w:rsid w:val="00630691"/>
    <w:rsid w:val="006319D9"/>
    <w:rsid w:val="00637733"/>
    <w:rsid w:val="00640EFD"/>
    <w:rsid w:val="00644337"/>
    <w:rsid w:val="00653A9D"/>
    <w:rsid w:val="00654780"/>
    <w:rsid w:val="00656E0F"/>
    <w:rsid w:val="00657D80"/>
    <w:rsid w:val="006621D9"/>
    <w:rsid w:val="00666050"/>
    <w:rsid w:val="0067385D"/>
    <w:rsid w:val="00674DA7"/>
    <w:rsid w:val="00675300"/>
    <w:rsid w:val="00680E2C"/>
    <w:rsid w:val="0068139D"/>
    <w:rsid w:val="00684A00"/>
    <w:rsid w:val="00684DEE"/>
    <w:rsid w:val="006A1B20"/>
    <w:rsid w:val="006A21FF"/>
    <w:rsid w:val="006A393D"/>
    <w:rsid w:val="006A4976"/>
    <w:rsid w:val="006A5226"/>
    <w:rsid w:val="006A56A7"/>
    <w:rsid w:val="006B210F"/>
    <w:rsid w:val="006B2472"/>
    <w:rsid w:val="006B3306"/>
    <w:rsid w:val="006B4B40"/>
    <w:rsid w:val="006B6D3A"/>
    <w:rsid w:val="006C0CD6"/>
    <w:rsid w:val="006E573C"/>
    <w:rsid w:val="006F5DDC"/>
    <w:rsid w:val="00714FBB"/>
    <w:rsid w:val="0073036E"/>
    <w:rsid w:val="00744A64"/>
    <w:rsid w:val="00744AED"/>
    <w:rsid w:val="00751F0F"/>
    <w:rsid w:val="00757EDB"/>
    <w:rsid w:val="00761C0E"/>
    <w:rsid w:val="007632D0"/>
    <w:rsid w:val="00764A69"/>
    <w:rsid w:val="007676BB"/>
    <w:rsid w:val="00774E03"/>
    <w:rsid w:val="00777600"/>
    <w:rsid w:val="00786A8E"/>
    <w:rsid w:val="0079004D"/>
    <w:rsid w:val="00792F13"/>
    <w:rsid w:val="00795E2D"/>
    <w:rsid w:val="007A21D5"/>
    <w:rsid w:val="007C3CA1"/>
    <w:rsid w:val="007C7FE9"/>
    <w:rsid w:val="007D3665"/>
    <w:rsid w:val="007D56D4"/>
    <w:rsid w:val="007E2BB0"/>
    <w:rsid w:val="007F1233"/>
    <w:rsid w:val="007F5A8B"/>
    <w:rsid w:val="007F7F90"/>
    <w:rsid w:val="00801C67"/>
    <w:rsid w:val="00805AFD"/>
    <w:rsid w:val="00812BEF"/>
    <w:rsid w:val="0081483D"/>
    <w:rsid w:val="00816FF6"/>
    <w:rsid w:val="00817D90"/>
    <w:rsid w:val="0082069A"/>
    <w:rsid w:val="00821BAD"/>
    <w:rsid w:val="008221DC"/>
    <w:rsid w:val="00823A72"/>
    <w:rsid w:val="008243FE"/>
    <w:rsid w:val="00836B19"/>
    <w:rsid w:val="00837047"/>
    <w:rsid w:val="008461A4"/>
    <w:rsid w:val="0086733F"/>
    <w:rsid w:val="00867382"/>
    <w:rsid w:val="00867C00"/>
    <w:rsid w:val="00873B03"/>
    <w:rsid w:val="00874159"/>
    <w:rsid w:val="00882EC5"/>
    <w:rsid w:val="0088647B"/>
    <w:rsid w:val="00890B27"/>
    <w:rsid w:val="00892A1F"/>
    <w:rsid w:val="008A47DB"/>
    <w:rsid w:val="008B0E28"/>
    <w:rsid w:val="008B1FCC"/>
    <w:rsid w:val="008B2679"/>
    <w:rsid w:val="008B4CD5"/>
    <w:rsid w:val="008B5F09"/>
    <w:rsid w:val="008B6357"/>
    <w:rsid w:val="008C0142"/>
    <w:rsid w:val="008C06D8"/>
    <w:rsid w:val="008E0189"/>
    <w:rsid w:val="008E1D61"/>
    <w:rsid w:val="008E4181"/>
    <w:rsid w:val="008E6094"/>
    <w:rsid w:val="008E7037"/>
    <w:rsid w:val="008F3C76"/>
    <w:rsid w:val="008F7216"/>
    <w:rsid w:val="009054C5"/>
    <w:rsid w:val="009116EA"/>
    <w:rsid w:val="00913253"/>
    <w:rsid w:val="00916454"/>
    <w:rsid w:val="00916963"/>
    <w:rsid w:val="0093140E"/>
    <w:rsid w:val="009317FD"/>
    <w:rsid w:val="009345CB"/>
    <w:rsid w:val="00937355"/>
    <w:rsid w:val="00937FC0"/>
    <w:rsid w:val="00947043"/>
    <w:rsid w:val="00950122"/>
    <w:rsid w:val="00950274"/>
    <w:rsid w:val="0095258E"/>
    <w:rsid w:val="00970D7E"/>
    <w:rsid w:val="00980AB7"/>
    <w:rsid w:val="009835D7"/>
    <w:rsid w:val="00984731"/>
    <w:rsid w:val="00984C17"/>
    <w:rsid w:val="00985054"/>
    <w:rsid w:val="009861A0"/>
    <w:rsid w:val="0098714A"/>
    <w:rsid w:val="009876FE"/>
    <w:rsid w:val="00993158"/>
    <w:rsid w:val="00993FE2"/>
    <w:rsid w:val="009A1D2A"/>
    <w:rsid w:val="009A1E4A"/>
    <w:rsid w:val="009A4650"/>
    <w:rsid w:val="009A5536"/>
    <w:rsid w:val="009D35A4"/>
    <w:rsid w:val="009D5BF7"/>
    <w:rsid w:val="009E2D58"/>
    <w:rsid w:val="009E538F"/>
    <w:rsid w:val="009F0217"/>
    <w:rsid w:val="009F6338"/>
    <w:rsid w:val="009F751C"/>
    <w:rsid w:val="00A061FE"/>
    <w:rsid w:val="00A11A4D"/>
    <w:rsid w:val="00A15C04"/>
    <w:rsid w:val="00A22144"/>
    <w:rsid w:val="00A26725"/>
    <w:rsid w:val="00A35A16"/>
    <w:rsid w:val="00A35EB2"/>
    <w:rsid w:val="00A37315"/>
    <w:rsid w:val="00A43964"/>
    <w:rsid w:val="00A43C45"/>
    <w:rsid w:val="00A45000"/>
    <w:rsid w:val="00A50C46"/>
    <w:rsid w:val="00A66FF1"/>
    <w:rsid w:val="00A95692"/>
    <w:rsid w:val="00AA2482"/>
    <w:rsid w:val="00AA38D8"/>
    <w:rsid w:val="00AA7082"/>
    <w:rsid w:val="00AB5802"/>
    <w:rsid w:val="00AC39BA"/>
    <w:rsid w:val="00AC724B"/>
    <w:rsid w:val="00AC7B7B"/>
    <w:rsid w:val="00AD1755"/>
    <w:rsid w:val="00AD25AA"/>
    <w:rsid w:val="00AE4B3F"/>
    <w:rsid w:val="00AE7BC2"/>
    <w:rsid w:val="00AF2DD6"/>
    <w:rsid w:val="00B00A29"/>
    <w:rsid w:val="00B0144D"/>
    <w:rsid w:val="00B0242E"/>
    <w:rsid w:val="00B02BBD"/>
    <w:rsid w:val="00B118C7"/>
    <w:rsid w:val="00B139D8"/>
    <w:rsid w:val="00B13A47"/>
    <w:rsid w:val="00B14653"/>
    <w:rsid w:val="00B16DBB"/>
    <w:rsid w:val="00B176B6"/>
    <w:rsid w:val="00B2143A"/>
    <w:rsid w:val="00B23755"/>
    <w:rsid w:val="00B26E88"/>
    <w:rsid w:val="00B31673"/>
    <w:rsid w:val="00B33D62"/>
    <w:rsid w:val="00B3427E"/>
    <w:rsid w:val="00B36803"/>
    <w:rsid w:val="00B46146"/>
    <w:rsid w:val="00B471FE"/>
    <w:rsid w:val="00B572B2"/>
    <w:rsid w:val="00B57847"/>
    <w:rsid w:val="00B6590A"/>
    <w:rsid w:val="00B75415"/>
    <w:rsid w:val="00B837CA"/>
    <w:rsid w:val="00B83B57"/>
    <w:rsid w:val="00B93054"/>
    <w:rsid w:val="00B93CEC"/>
    <w:rsid w:val="00B95070"/>
    <w:rsid w:val="00BA2F3C"/>
    <w:rsid w:val="00BA3B57"/>
    <w:rsid w:val="00BA4449"/>
    <w:rsid w:val="00BB12DB"/>
    <w:rsid w:val="00BB185B"/>
    <w:rsid w:val="00BB2095"/>
    <w:rsid w:val="00BB2AB7"/>
    <w:rsid w:val="00BB2C99"/>
    <w:rsid w:val="00BB5E96"/>
    <w:rsid w:val="00BB7CE6"/>
    <w:rsid w:val="00BC73F1"/>
    <w:rsid w:val="00BC76E2"/>
    <w:rsid w:val="00BD43CF"/>
    <w:rsid w:val="00BD58C1"/>
    <w:rsid w:val="00BD5DFC"/>
    <w:rsid w:val="00BD77E9"/>
    <w:rsid w:val="00BE2585"/>
    <w:rsid w:val="00BE5884"/>
    <w:rsid w:val="00BE610B"/>
    <w:rsid w:val="00BF7AF9"/>
    <w:rsid w:val="00C054B4"/>
    <w:rsid w:val="00C1092F"/>
    <w:rsid w:val="00C1143B"/>
    <w:rsid w:val="00C163AA"/>
    <w:rsid w:val="00C21F63"/>
    <w:rsid w:val="00C2372E"/>
    <w:rsid w:val="00C24915"/>
    <w:rsid w:val="00C326CF"/>
    <w:rsid w:val="00C35D28"/>
    <w:rsid w:val="00C3703E"/>
    <w:rsid w:val="00C4379F"/>
    <w:rsid w:val="00C45F24"/>
    <w:rsid w:val="00C46CD2"/>
    <w:rsid w:val="00C475C8"/>
    <w:rsid w:val="00C54801"/>
    <w:rsid w:val="00C569BB"/>
    <w:rsid w:val="00C611F3"/>
    <w:rsid w:val="00C627D0"/>
    <w:rsid w:val="00C72719"/>
    <w:rsid w:val="00C75113"/>
    <w:rsid w:val="00C75E75"/>
    <w:rsid w:val="00C77681"/>
    <w:rsid w:val="00C804F9"/>
    <w:rsid w:val="00C80608"/>
    <w:rsid w:val="00C8185D"/>
    <w:rsid w:val="00C852C4"/>
    <w:rsid w:val="00C85657"/>
    <w:rsid w:val="00CA57A2"/>
    <w:rsid w:val="00CA6D44"/>
    <w:rsid w:val="00CB0075"/>
    <w:rsid w:val="00CB01A3"/>
    <w:rsid w:val="00CB110D"/>
    <w:rsid w:val="00CB33DA"/>
    <w:rsid w:val="00CB59F1"/>
    <w:rsid w:val="00CB75F2"/>
    <w:rsid w:val="00CC1487"/>
    <w:rsid w:val="00CC174E"/>
    <w:rsid w:val="00CC254F"/>
    <w:rsid w:val="00CC28A4"/>
    <w:rsid w:val="00CC3D67"/>
    <w:rsid w:val="00CC69DA"/>
    <w:rsid w:val="00CC6DF9"/>
    <w:rsid w:val="00CD2723"/>
    <w:rsid w:val="00CD4110"/>
    <w:rsid w:val="00CE003A"/>
    <w:rsid w:val="00CE6DFF"/>
    <w:rsid w:val="00D008D7"/>
    <w:rsid w:val="00D02586"/>
    <w:rsid w:val="00D02726"/>
    <w:rsid w:val="00D06F19"/>
    <w:rsid w:val="00D20830"/>
    <w:rsid w:val="00D23C05"/>
    <w:rsid w:val="00D24365"/>
    <w:rsid w:val="00D26316"/>
    <w:rsid w:val="00D3016D"/>
    <w:rsid w:val="00D70020"/>
    <w:rsid w:val="00D737AE"/>
    <w:rsid w:val="00D7586F"/>
    <w:rsid w:val="00D82101"/>
    <w:rsid w:val="00D92E55"/>
    <w:rsid w:val="00D94519"/>
    <w:rsid w:val="00D946F6"/>
    <w:rsid w:val="00DA0DA5"/>
    <w:rsid w:val="00DA1E4B"/>
    <w:rsid w:val="00DA2737"/>
    <w:rsid w:val="00DA2D2F"/>
    <w:rsid w:val="00DA2F5A"/>
    <w:rsid w:val="00DA5020"/>
    <w:rsid w:val="00DA7354"/>
    <w:rsid w:val="00DB5A7D"/>
    <w:rsid w:val="00DB67EE"/>
    <w:rsid w:val="00DB707E"/>
    <w:rsid w:val="00DC2DAF"/>
    <w:rsid w:val="00DC64FF"/>
    <w:rsid w:val="00DD0749"/>
    <w:rsid w:val="00DE0B1A"/>
    <w:rsid w:val="00DE1A04"/>
    <w:rsid w:val="00DE5E54"/>
    <w:rsid w:val="00DE63E3"/>
    <w:rsid w:val="00DF7512"/>
    <w:rsid w:val="00DF77C6"/>
    <w:rsid w:val="00E00483"/>
    <w:rsid w:val="00E05A43"/>
    <w:rsid w:val="00E0617E"/>
    <w:rsid w:val="00E06F23"/>
    <w:rsid w:val="00E0753A"/>
    <w:rsid w:val="00E16201"/>
    <w:rsid w:val="00E16CDB"/>
    <w:rsid w:val="00E201A0"/>
    <w:rsid w:val="00E24459"/>
    <w:rsid w:val="00E25D02"/>
    <w:rsid w:val="00E31D63"/>
    <w:rsid w:val="00E421FD"/>
    <w:rsid w:val="00E43996"/>
    <w:rsid w:val="00E513A0"/>
    <w:rsid w:val="00E63032"/>
    <w:rsid w:val="00E7646F"/>
    <w:rsid w:val="00E83CBC"/>
    <w:rsid w:val="00E94378"/>
    <w:rsid w:val="00E9461B"/>
    <w:rsid w:val="00EA19BC"/>
    <w:rsid w:val="00EA606E"/>
    <w:rsid w:val="00EB584A"/>
    <w:rsid w:val="00ED3FD7"/>
    <w:rsid w:val="00ED7212"/>
    <w:rsid w:val="00EE0A58"/>
    <w:rsid w:val="00EE17F3"/>
    <w:rsid w:val="00EE57C7"/>
    <w:rsid w:val="00EE69AA"/>
    <w:rsid w:val="00F02674"/>
    <w:rsid w:val="00F10643"/>
    <w:rsid w:val="00F123B5"/>
    <w:rsid w:val="00F13D16"/>
    <w:rsid w:val="00F20B23"/>
    <w:rsid w:val="00F23E42"/>
    <w:rsid w:val="00F26BF3"/>
    <w:rsid w:val="00F34ABC"/>
    <w:rsid w:val="00F366A4"/>
    <w:rsid w:val="00F36CAF"/>
    <w:rsid w:val="00F378B7"/>
    <w:rsid w:val="00F41550"/>
    <w:rsid w:val="00F4470D"/>
    <w:rsid w:val="00F50CCD"/>
    <w:rsid w:val="00F52CA1"/>
    <w:rsid w:val="00F62430"/>
    <w:rsid w:val="00F64031"/>
    <w:rsid w:val="00F6526C"/>
    <w:rsid w:val="00F65FB2"/>
    <w:rsid w:val="00F7040D"/>
    <w:rsid w:val="00F74903"/>
    <w:rsid w:val="00F759B4"/>
    <w:rsid w:val="00F75E84"/>
    <w:rsid w:val="00F82A14"/>
    <w:rsid w:val="00F834B0"/>
    <w:rsid w:val="00F83892"/>
    <w:rsid w:val="00F866CE"/>
    <w:rsid w:val="00F91D4B"/>
    <w:rsid w:val="00F94C33"/>
    <w:rsid w:val="00F95558"/>
    <w:rsid w:val="00F968C7"/>
    <w:rsid w:val="00FA05CE"/>
    <w:rsid w:val="00FB1D38"/>
    <w:rsid w:val="00FB296B"/>
    <w:rsid w:val="00FC4934"/>
    <w:rsid w:val="00FC5750"/>
    <w:rsid w:val="00FD035A"/>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4189">
      <w:bodyDiv w:val="1"/>
      <w:marLeft w:val="0"/>
      <w:marRight w:val="0"/>
      <w:marTop w:val="0"/>
      <w:marBottom w:val="0"/>
      <w:divBdr>
        <w:top w:val="none" w:sz="0" w:space="0" w:color="auto"/>
        <w:left w:val="none" w:sz="0" w:space="0" w:color="auto"/>
        <w:bottom w:val="none" w:sz="0" w:space="0" w:color="auto"/>
        <w:right w:val="none" w:sz="0" w:space="0" w:color="auto"/>
      </w:divBdr>
      <w:divsChild>
        <w:div w:id="219288034">
          <w:marLeft w:val="0"/>
          <w:marRight w:val="0"/>
          <w:marTop w:val="0"/>
          <w:marBottom w:val="0"/>
          <w:divBdr>
            <w:top w:val="none" w:sz="0" w:space="0" w:color="auto"/>
            <w:left w:val="none" w:sz="0" w:space="0" w:color="auto"/>
            <w:bottom w:val="none" w:sz="0" w:space="0" w:color="auto"/>
            <w:right w:val="none" w:sz="0" w:space="0" w:color="auto"/>
          </w:divBdr>
        </w:div>
      </w:divsChild>
    </w:div>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909314804">
      <w:bodyDiv w:val="1"/>
      <w:marLeft w:val="0"/>
      <w:marRight w:val="0"/>
      <w:marTop w:val="0"/>
      <w:marBottom w:val="0"/>
      <w:divBdr>
        <w:top w:val="none" w:sz="0" w:space="0" w:color="auto"/>
        <w:left w:val="none" w:sz="0" w:space="0" w:color="auto"/>
        <w:bottom w:val="none" w:sz="0" w:space="0" w:color="auto"/>
        <w:right w:val="none" w:sz="0" w:space="0" w:color="auto"/>
      </w:divBdr>
    </w:div>
    <w:div w:id="1021928556">
      <w:bodyDiv w:val="1"/>
      <w:marLeft w:val="0"/>
      <w:marRight w:val="0"/>
      <w:marTop w:val="0"/>
      <w:marBottom w:val="0"/>
      <w:divBdr>
        <w:top w:val="none" w:sz="0" w:space="0" w:color="auto"/>
        <w:left w:val="none" w:sz="0" w:space="0" w:color="auto"/>
        <w:bottom w:val="none" w:sz="0" w:space="0" w:color="auto"/>
        <w:right w:val="none" w:sz="0" w:space="0" w:color="auto"/>
      </w:divBdr>
    </w:div>
    <w:div w:id="1072695442">
      <w:bodyDiv w:val="1"/>
      <w:marLeft w:val="0"/>
      <w:marRight w:val="0"/>
      <w:marTop w:val="0"/>
      <w:marBottom w:val="0"/>
      <w:divBdr>
        <w:top w:val="none" w:sz="0" w:space="0" w:color="auto"/>
        <w:left w:val="none" w:sz="0" w:space="0" w:color="auto"/>
        <w:bottom w:val="none" w:sz="0" w:space="0" w:color="auto"/>
        <w:right w:val="none" w:sz="0" w:space="0" w:color="auto"/>
      </w:divBdr>
    </w:div>
    <w:div w:id="1116173458">
      <w:bodyDiv w:val="1"/>
      <w:marLeft w:val="0"/>
      <w:marRight w:val="0"/>
      <w:marTop w:val="0"/>
      <w:marBottom w:val="0"/>
      <w:divBdr>
        <w:top w:val="none" w:sz="0" w:space="0" w:color="auto"/>
        <w:left w:val="none" w:sz="0" w:space="0" w:color="auto"/>
        <w:bottom w:val="none" w:sz="0" w:space="0" w:color="auto"/>
        <w:right w:val="none" w:sz="0" w:space="0" w:color="auto"/>
      </w:divBdr>
      <w:divsChild>
        <w:div w:id="1329480830">
          <w:marLeft w:val="0"/>
          <w:marRight w:val="0"/>
          <w:marTop w:val="0"/>
          <w:marBottom w:val="0"/>
          <w:divBdr>
            <w:top w:val="none" w:sz="0" w:space="0" w:color="auto"/>
            <w:left w:val="none" w:sz="0" w:space="0" w:color="auto"/>
            <w:bottom w:val="none" w:sz="0" w:space="0" w:color="auto"/>
            <w:right w:val="none" w:sz="0" w:space="0" w:color="auto"/>
          </w:divBdr>
        </w:div>
      </w:divsChild>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 w:id="2008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Nino Khokhobaia</cp:lastModifiedBy>
  <cp:revision>3</cp:revision>
  <cp:lastPrinted>2021-03-29T06:01:00Z</cp:lastPrinted>
  <dcterms:created xsi:type="dcterms:W3CDTF">2021-07-12T13:02:00Z</dcterms:created>
  <dcterms:modified xsi:type="dcterms:W3CDTF">2021-07-12T14:40:00Z</dcterms:modified>
</cp:coreProperties>
</file>